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609" w:rsidRPr="008B5191" w:rsidRDefault="008B5191" w:rsidP="008B5191">
      <w:pPr>
        <w:spacing w:line="360" w:lineRule="auto"/>
        <w:jc w:val="center"/>
        <w:rPr>
          <w:rFonts w:ascii="宋体" w:hAnsi="宋体"/>
          <w:b/>
          <w:sz w:val="44"/>
          <w:szCs w:val="44"/>
        </w:rPr>
      </w:pPr>
      <w:r w:rsidRPr="008B5191">
        <w:rPr>
          <w:rFonts w:ascii="宋体" w:hAnsi="宋体" w:hint="eastAsia"/>
          <w:b/>
          <w:sz w:val="44"/>
          <w:szCs w:val="44"/>
        </w:rPr>
        <w:t>台州电大</w:t>
      </w:r>
      <w:r w:rsidR="000C10D4">
        <w:rPr>
          <w:rFonts w:ascii="宋体" w:hAnsi="宋体" w:hint="eastAsia"/>
          <w:b/>
          <w:sz w:val="44"/>
          <w:szCs w:val="44"/>
        </w:rPr>
        <w:t>成人脱产</w:t>
      </w:r>
      <w:r w:rsidRPr="008B5191">
        <w:rPr>
          <w:rFonts w:ascii="宋体" w:hAnsi="宋体" w:hint="eastAsia"/>
          <w:b/>
          <w:sz w:val="44"/>
          <w:szCs w:val="44"/>
        </w:rPr>
        <w:t>毕业生就业质量报告</w:t>
      </w:r>
    </w:p>
    <w:p w:rsidR="008B5191" w:rsidRPr="008B5191" w:rsidRDefault="008B5191" w:rsidP="008B5191">
      <w:pPr>
        <w:spacing w:line="360" w:lineRule="auto"/>
        <w:jc w:val="center"/>
        <w:rPr>
          <w:rFonts w:ascii="宋体" w:hAnsi="宋体"/>
          <w:sz w:val="24"/>
        </w:rPr>
      </w:pPr>
    </w:p>
    <w:p w:rsidR="008B5191" w:rsidRPr="008B5191" w:rsidRDefault="000C10D4" w:rsidP="008B5191">
      <w:pPr>
        <w:pStyle w:val="a3"/>
        <w:numPr>
          <w:ilvl w:val="0"/>
          <w:numId w:val="1"/>
        </w:numPr>
        <w:spacing w:line="360" w:lineRule="auto"/>
        <w:ind w:firstLineChars="0"/>
        <w:rPr>
          <w:rFonts w:ascii="宋体" w:hAnsi="宋体"/>
          <w:sz w:val="24"/>
        </w:rPr>
      </w:pPr>
      <w:r>
        <w:rPr>
          <w:rFonts w:ascii="宋体" w:hAnsi="宋体" w:hint="eastAsia"/>
          <w:sz w:val="24"/>
        </w:rPr>
        <w:t>成人脱产</w:t>
      </w:r>
      <w:r w:rsidR="008B5191" w:rsidRPr="008B5191">
        <w:rPr>
          <w:rFonts w:ascii="宋体" w:hAnsi="宋体" w:hint="eastAsia"/>
          <w:sz w:val="24"/>
        </w:rPr>
        <w:t>毕业生就业基本情况及工作举措</w:t>
      </w:r>
    </w:p>
    <w:p w:rsidR="008B5191" w:rsidRPr="008B5191" w:rsidRDefault="008B5191" w:rsidP="008B5191">
      <w:pPr>
        <w:pStyle w:val="a3"/>
        <w:spacing w:line="360" w:lineRule="auto"/>
        <w:ind w:left="420" w:firstLine="480"/>
        <w:rPr>
          <w:rFonts w:ascii="宋体" w:hAnsi="宋体"/>
          <w:sz w:val="24"/>
        </w:rPr>
      </w:pPr>
      <w:r w:rsidRPr="008B5191">
        <w:rPr>
          <w:rFonts w:ascii="宋体" w:hAnsi="宋体" w:hint="eastAsia"/>
          <w:sz w:val="24"/>
        </w:rPr>
        <w:t>通过对</w:t>
      </w:r>
      <w:r w:rsidR="00BA4CA9">
        <w:rPr>
          <w:rFonts w:ascii="宋体" w:hAnsi="宋体" w:hint="eastAsia"/>
          <w:sz w:val="24"/>
        </w:rPr>
        <w:t>2017</w:t>
      </w:r>
      <w:r w:rsidRPr="008B5191">
        <w:rPr>
          <w:rFonts w:ascii="宋体" w:hAnsi="宋体" w:hint="eastAsia"/>
          <w:sz w:val="24"/>
        </w:rPr>
        <w:t>届</w:t>
      </w:r>
      <w:r w:rsidR="000C10D4">
        <w:rPr>
          <w:rFonts w:ascii="宋体" w:hAnsi="宋体" w:hint="eastAsia"/>
          <w:sz w:val="24"/>
        </w:rPr>
        <w:t>成人脱产</w:t>
      </w:r>
      <w:r w:rsidRPr="008B5191">
        <w:rPr>
          <w:rFonts w:ascii="宋体" w:hAnsi="宋体" w:hint="eastAsia"/>
          <w:sz w:val="24"/>
        </w:rPr>
        <w:t>初次就业情况统计数据和大学生毕业就业状况调查数据的统计结果进行分析总结，可以得出以下结论：</w:t>
      </w:r>
    </w:p>
    <w:p w:rsidR="008B5191" w:rsidRPr="008B5191" w:rsidRDefault="008B5191" w:rsidP="008B5191">
      <w:pPr>
        <w:pStyle w:val="a3"/>
        <w:numPr>
          <w:ilvl w:val="0"/>
          <w:numId w:val="2"/>
        </w:numPr>
        <w:spacing w:line="360" w:lineRule="auto"/>
        <w:ind w:firstLineChars="0"/>
        <w:rPr>
          <w:rFonts w:ascii="宋体" w:hAnsi="宋体"/>
          <w:sz w:val="24"/>
        </w:rPr>
      </w:pPr>
      <w:r w:rsidRPr="008B5191">
        <w:rPr>
          <w:rFonts w:ascii="宋体" w:hAnsi="宋体" w:hint="eastAsia"/>
          <w:sz w:val="24"/>
        </w:rPr>
        <w:t>毕业生初次就业率</w:t>
      </w:r>
    </w:p>
    <w:p w:rsidR="008B5191" w:rsidRPr="008B5191" w:rsidRDefault="00BA4CA9" w:rsidP="008B5191">
      <w:pPr>
        <w:pStyle w:val="a3"/>
        <w:spacing w:line="360" w:lineRule="auto"/>
        <w:ind w:left="780" w:firstLineChars="0" w:firstLine="0"/>
        <w:rPr>
          <w:rFonts w:ascii="宋体" w:hAnsi="宋体"/>
          <w:sz w:val="24"/>
        </w:rPr>
      </w:pPr>
      <w:r>
        <w:rPr>
          <w:rFonts w:ascii="宋体" w:hAnsi="宋体" w:hint="eastAsia"/>
          <w:sz w:val="24"/>
        </w:rPr>
        <w:t>2017</w:t>
      </w:r>
      <w:r w:rsidR="008B5191" w:rsidRPr="008B5191">
        <w:rPr>
          <w:rFonts w:ascii="宋体" w:hAnsi="宋体" w:hint="eastAsia"/>
          <w:sz w:val="24"/>
        </w:rPr>
        <w:t>届</w:t>
      </w:r>
      <w:r>
        <w:rPr>
          <w:rFonts w:ascii="宋体" w:hAnsi="宋体" w:hint="eastAsia"/>
          <w:sz w:val="24"/>
        </w:rPr>
        <w:t>532</w:t>
      </w:r>
      <w:r w:rsidR="008B5191" w:rsidRPr="008B5191">
        <w:rPr>
          <w:rFonts w:ascii="宋体" w:hAnsi="宋体" w:hint="eastAsia"/>
          <w:sz w:val="24"/>
        </w:rPr>
        <w:t>名毕业生，共有</w:t>
      </w:r>
      <w:r>
        <w:rPr>
          <w:rFonts w:ascii="宋体" w:hAnsi="宋体" w:hint="eastAsia"/>
          <w:sz w:val="24"/>
        </w:rPr>
        <w:t>452</w:t>
      </w:r>
      <w:r w:rsidR="008B5191" w:rsidRPr="008B5191">
        <w:rPr>
          <w:rFonts w:ascii="宋体" w:hAnsi="宋体" w:hint="eastAsia"/>
          <w:sz w:val="24"/>
        </w:rPr>
        <w:t>名毕业生已落实就业，总体初次就业率为</w:t>
      </w:r>
      <w:r w:rsidR="00C05537">
        <w:rPr>
          <w:rFonts w:ascii="宋体" w:hAnsi="宋体" w:hint="eastAsia"/>
          <w:sz w:val="24"/>
        </w:rPr>
        <w:t>8</w:t>
      </w:r>
      <w:r>
        <w:rPr>
          <w:rFonts w:ascii="宋体" w:hAnsi="宋体" w:hint="eastAsia"/>
          <w:sz w:val="24"/>
        </w:rPr>
        <w:t>4.96</w:t>
      </w:r>
      <w:r w:rsidR="008B5191" w:rsidRPr="008B5191">
        <w:rPr>
          <w:rFonts w:ascii="宋体" w:hAnsi="宋体" w:hint="eastAsia"/>
          <w:sz w:val="24"/>
        </w:rPr>
        <w:t>%。</w:t>
      </w:r>
    </w:p>
    <w:p w:rsidR="008B5191" w:rsidRPr="008B5191" w:rsidRDefault="008B5191" w:rsidP="008B5191">
      <w:pPr>
        <w:pStyle w:val="a3"/>
        <w:numPr>
          <w:ilvl w:val="0"/>
          <w:numId w:val="2"/>
        </w:numPr>
        <w:spacing w:line="360" w:lineRule="auto"/>
        <w:ind w:firstLineChars="0"/>
        <w:rPr>
          <w:rFonts w:ascii="宋体" w:hAnsi="宋体"/>
          <w:sz w:val="24"/>
        </w:rPr>
      </w:pPr>
      <w:r w:rsidRPr="008B5191">
        <w:rPr>
          <w:rFonts w:ascii="宋体" w:hAnsi="宋体" w:hint="eastAsia"/>
          <w:sz w:val="24"/>
        </w:rPr>
        <w:t>毕业生对落实工作满意度较高，就业质量较好</w:t>
      </w:r>
    </w:p>
    <w:p w:rsidR="008B5191" w:rsidRPr="008B5191" w:rsidRDefault="008B5191" w:rsidP="008B5191">
      <w:pPr>
        <w:pStyle w:val="a3"/>
        <w:spacing w:line="360" w:lineRule="auto"/>
        <w:ind w:left="780" w:firstLine="480"/>
        <w:rPr>
          <w:rFonts w:ascii="宋体" w:hAnsi="宋体"/>
          <w:sz w:val="24"/>
        </w:rPr>
      </w:pPr>
      <w:r w:rsidRPr="008B5191">
        <w:rPr>
          <w:rFonts w:ascii="宋体" w:hAnsi="宋体" w:hint="eastAsia"/>
          <w:sz w:val="24"/>
        </w:rPr>
        <w:t>毕业生在评价自己的客观就业质量时，重要性最高的因素是职业发展预期，其次是为工作报酬、劳动关系和工作环境。对于主观就业质量，受访毕业生则认为重要性最高的是工作氛围，其次是为工作能力是否胜任工作和职业期待吻合度。</w:t>
      </w:r>
    </w:p>
    <w:p w:rsidR="008B5191" w:rsidRPr="008B5191" w:rsidRDefault="008B5191" w:rsidP="008B5191">
      <w:pPr>
        <w:pStyle w:val="a3"/>
        <w:spacing w:line="360" w:lineRule="auto"/>
        <w:ind w:left="780" w:firstLineChars="0"/>
        <w:rPr>
          <w:rFonts w:ascii="宋体" w:hAnsi="宋体"/>
          <w:sz w:val="24"/>
        </w:rPr>
      </w:pPr>
      <w:r w:rsidRPr="008B5191">
        <w:rPr>
          <w:rFonts w:ascii="宋体" w:hAnsi="宋体" w:hint="eastAsia"/>
          <w:sz w:val="24"/>
        </w:rPr>
        <w:t>从就业地域来看，主要是台州市各县、市、区，少数毕业生在杭州、宁波等就业。</w:t>
      </w:r>
    </w:p>
    <w:p w:rsidR="008B5191" w:rsidRPr="008B5191" w:rsidRDefault="008B5191" w:rsidP="008B5191">
      <w:pPr>
        <w:pStyle w:val="a3"/>
        <w:spacing w:line="360" w:lineRule="auto"/>
        <w:ind w:left="780" w:firstLineChars="0"/>
        <w:rPr>
          <w:rFonts w:ascii="宋体" w:hAnsi="宋体"/>
          <w:sz w:val="24"/>
        </w:rPr>
      </w:pPr>
      <w:r w:rsidRPr="008B5191">
        <w:rPr>
          <w:rFonts w:ascii="宋体" w:hAnsi="宋体" w:hint="eastAsia"/>
          <w:sz w:val="24"/>
        </w:rPr>
        <w:t>从单位类型来看，主要是民营企业。毕业生落实工作主是四大行业，分别是制造业、电子商务类、教育类、金融类。</w:t>
      </w:r>
    </w:p>
    <w:p w:rsidR="008B5191" w:rsidRPr="008B5191" w:rsidRDefault="008B5191" w:rsidP="008B5191">
      <w:pPr>
        <w:pStyle w:val="a3"/>
        <w:numPr>
          <w:ilvl w:val="0"/>
          <w:numId w:val="2"/>
        </w:numPr>
        <w:spacing w:line="360" w:lineRule="auto"/>
        <w:ind w:firstLineChars="0"/>
        <w:rPr>
          <w:rFonts w:ascii="宋体" w:hAnsi="宋体"/>
          <w:sz w:val="24"/>
        </w:rPr>
      </w:pPr>
      <w:r w:rsidRPr="008B5191">
        <w:rPr>
          <w:rFonts w:ascii="宋体" w:hAnsi="宋体" w:hint="eastAsia"/>
          <w:sz w:val="24"/>
        </w:rPr>
        <w:t>现场招聘会是毕业生求职的主要渠道</w:t>
      </w:r>
    </w:p>
    <w:p w:rsidR="008B5191" w:rsidRPr="008B5191" w:rsidRDefault="008B5191" w:rsidP="008B5191">
      <w:pPr>
        <w:pStyle w:val="a3"/>
        <w:spacing w:line="360" w:lineRule="auto"/>
        <w:ind w:left="780" w:firstLineChars="0" w:firstLine="0"/>
        <w:rPr>
          <w:rFonts w:ascii="宋体" w:hAnsi="宋体"/>
          <w:sz w:val="24"/>
        </w:rPr>
      </w:pPr>
      <w:r w:rsidRPr="008B5191">
        <w:rPr>
          <w:rFonts w:ascii="宋体" w:hAnsi="宋体" w:hint="eastAsia"/>
          <w:sz w:val="24"/>
        </w:rPr>
        <w:t>比例最高的三个途径依次为校园现场招聘会、求职招聘网站、直接向单位申请。</w:t>
      </w:r>
    </w:p>
    <w:p w:rsidR="008B5191" w:rsidRDefault="008B5191" w:rsidP="008B5191">
      <w:pPr>
        <w:pStyle w:val="a3"/>
        <w:numPr>
          <w:ilvl w:val="0"/>
          <w:numId w:val="2"/>
        </w:numPr>
        <w:spacing w:line="360" w:lineRule="auto"/>
        <w:ind w:firstLineChars="0"/>
        <w:rPr>
          <w:rFonts w:ascii="宋体" w:hAnsi="宋体"/>
          <w:sz w:val="24"/>
        </w:rPr>
      </w:pPr>
      <w:r w:rsidRPr="008B5191">
        <w:rPr>
          <w:rFonts w:ascii="宋体" w:hAnsi="宋体" w:hint="eastAsia"/>
          <w:sz w:val="24"/>
        </w:rPr>
        <w:t>毕业生就业工作举措</w:t>
      </w:r>
    </w:p>
    <w:p w:rsidR="00975263" w:rsidRPr="007B4115" w:rsidRDefault="00975263" w:rsidP="00975263">
      <w:pPr>
        <w:pStyle w:val="a8"/>
        <w:shd w:val="clear" w:color="auto" w:fill="FFFFFF"/>
        <w:spacing w:before="0" w:beforeAutospacing="0" w:after="0" w:afterAutospacing="0" w:line="360" w:lineRule="auto"/>
        <w:ind w:left="780"/>
        <w:rPr>
          <w:rFonts w:cs="Arial"/>
          <w:color w:val="000000" w:themeColor="text1"/>
        </w:rPr>
      </w:pPr>
      <w:r>
        <w:rPr>
          <w:rFonts w:cs="Arial" w:hint="eastAsia"/>
          <w:color w:val="000000" w:themeColor="text1"/>
        </w:rPr>
        <w:t>1、</w:t>
      </w:r>
      <w:r>
        <w:rPr>
          <w:rFonts w:cs="Arial"/>
          <w:color w:val="000000" w:themeColor="text1"/>
        </w:rPr>
        <w:t>提前</w:t>
      </w:r>
      <w:r w:rsidRPr="007B4115">
        <w:rPr>
          <w:rFonts w:cs="Arial"/>
          <w:color w:val="000000" w:themeColor="text1"/>
        </w:rPr>
        <w:t>部署，强力推进就业创业工作。为做好毕业生就业创业工作，我们坚持就业工作“早启动、早计划、早部署、早落实”的原则，召开毕业生就业形势</w:t>
      </w:r>
      <w:r w:rsidRPr="007B4115">
        <w:rPr>
          <w:rFonts w:cs="Arial" w:hint="eastAsia"/>
          <w:color w:val="000000" w:themeColor="text1"/>
        </w:rPr>
        <w:t>分析</w:t>
      </w:r>
      <w:r w:rsidRPr="007B4115">
        <w:rPr>
          <w:rFonts w:cs="Arial"/>
          <w:color w:val="000000" w:themeColor="text1"/>
        </w:rPr>
        <w:t>会，分析当前的我</w:t>
      </w:r>
      <w:r w:rsidRPr="007B4115">
        <w:rPr>
          <w:rFonts w:cs="Arial" w:hint="eastAsia"/>
          <w:color w:val="000000" w:themeColor="text1"/>
        </w:rPr>
        <w:t>院</w:t>
      </w:r>
      <w:r w:rsidRPr="007B4115">
        <w:rPr>
          <w:rFonts w:cs="Arial"/>
          <w:color w:val="000000" w:themeColor="text1"/>
        </w:rPr>
        <w:t>毕业生总体就业形势，对下一步做好我</w:t>
      </w:r>
      <w:r w:rsidRPr="007B4115">
        <w:rPr>
          <w:rFonts w:cs="Arial" w:hint="eastAsia"/>
          <w:color w:val="000000" w:themeColor="text1"/>
        </w:rPr>
        <w:t>院</w:t>
      </w:r>
      <w:r w:rsidRPr="007B4115">
        <w:rPr>
          <w:rFonts w:cs="Arial"/>
          <w:color w:val="000000" w:themeColor="text1"/>
        </w:rPr>
        <w:t>毕业生就业创业工作</w:t>
      </w:r>
      <w:proofErr w:type="gramStart"/>
      <w:r w:rsidRPr="007B4115">
        <w:rPr>
          <w:rFonts w:cs="Arial"/>
          <w:color w:val="000000" w:themeColor="text1"/>
        </w:rPr>
        <w:t>作</w:t>
      </w:r>
      <w:proofErr w:type="gramEnd"/>
      <w:r w:rsidRPr="007B4115">
        <w:rPr>
          <w:rFonts w:cs="Arial"/>
          <w:color w:val="000000" w:themeColor="text1"/>
        </w:rPr>
        <w:t>了具体部署，有效推动了各项工作的开展。加强组织领导，制定有效措施，大力促进毕业生就业创业。</w:t>
      </w:r>
    </w:p>
    <w:p w:rsidR="00975263" w:rsidRPr="007B4115" w:rsidRDefault="00975263" w:rsidP="00975263">
      <w:pPr>
        <w:pStyle w:val="a8"/>
        <w:shd w:val="clear" w:color="auto" w:fill="FFFFFF"/>
        <w:spacing w:before="0" w:beforeAutospacing="0" w:after="0" w:afterAutospacing="0" w:line="360" w:lineRule="auto"/>
        <w:ind w:left="780"/>
        <w:rPr>
          <w:rFonts w:cs="Arial"/>
          <w:color w:val="000000" w:themeColor="text1"/>
        </w:rPr>
      </w:pPr>
      <w:r>
        <w:rPr>
          <w:rFonts w:cs="Arial" w:hint="eastAsia"/>
          <w:color w:val="000000" w:themeColor="text1"/>
        </w:rPr>
        <w:t>2、</w:t>
      </w:r>
      <w:r w:rsidRPr="007B4115">
        <w:rPr>
          <w:rFonts w:cs="Arial"/>
          <w:color w:val="000000" w:themeColor="text1"/>
        </w:rPr>
        <w:t>办好</w:t>
      </w:r>
      <w:proofErr w:type="gramStart"/>
      <w:r w:rsidRPr="007B4115">
        <w:rPr>
          <w:rFonts w:cs="Arial"/>
          <w:color w:val="000000" w:themeColor="text1"/>
        </w:rPr>
        <w:t>各类双选</w:t>
      </w:r>
      <w:proofErr w:type="gramEnd"/>
      <w:r w:rsidRPr="007B4115">
        <w:rPr>
          <w:rFonts w:cs="Arial"/>
          <w:color w:val="000000" w:themeColor="text1"/>
        </w:rPr>
        <w:t>会，促进毕业生就业。搭建需求双方交流平台，为毕业生提供更多求职机会，是促进毕业生就业的有效途径之一。我</w:t>
      </w:r>
      <w:r w:rsidRPr="007B4115">
        <w:rPr>
          <w:rFonts w:cs="Arial" w:hint="eastAsia"/>
          <w:color w:val="000000" w:themeColor="text1"/>
        </w:rPr>
        <w:t>院</w:t>
      </w:r>
      <w:r>
        <w:rPr>
          <w:rFonts w:cs="Arial"/>
          <w:color w:val="000000" w:themeColor="text1"/>
        </w:rPr>
        <w:t>为应届毕业生举办的各类</w:t>
      </w:r>
      <w:proofErr w:type="gramStart"/>
      <w:r>
        <w:rPr>
          <w:rFonts w:cs="Arial"/>
          <w:color w:val="000000" w:themeColor="text1"/>
        </w:rPr>
        <w:t>形式双</w:t>
      </w:r>
      <w:proofErr w:type="gramEnd"/>
      <w:r>
        <w:rPr>
          <w:rFonts w:cs="Arial"/>
          <w:color w:val="000000" w:themeColor="text1"/>
        </w:rPr>
        <w:t>选会，其规模继续保持增长</w:t>
      </w:r>
      <w:r>
        <w:rPr>
          <w:rFonts w:cs="Arial" w:hint="eastAsia"/>
          <w:color w:val="000000" w:themeColor="text1"/>
        </w:rPr>
        <w:t>。</w:t>
      </w:r>
      <w:r w:rsidRPr="007B4115">
        <w:rPr>
          <w:rFonts w:cs="Arial"/>
          <w:color w:val="000000" w:themeColor="text1"/>
        </w:rPr>
        <w:t>我们按照行业和专业性质举办系列“双选会”，</w:t>
      </w:r>
      <w:r w:rsidRPr="007B4115">
        <w:rPr>
          <w:rFonts w:cs="Arial" w:hint="eastAsia"/>
          <w:color w:val="000000" w:themeColor="text1"/>
        </w:rPr>
        <w:t>进班举行专场招聘会</w:t>
      </w:r>
      <w:r>
        <w:rPr>
          <w:rFonts w:cs="Arial" w:hint="eastAsia"/>
          <w:color w:val="000000" w:themeColor="text1"/>
        </w:rPr>
        <w:t>及</w:t>
      </w:r>
      <w:r w:rsidRPr="007B4115">
        <w:rPr>
          <w:rFonts w:cs="Arial" w:hint="eastAsia"/>
          <w:color w:val="000000" w:themeColor="text1"/>
        </w:rPr>
        <w:t>举办毕业生大型招聘会。</w:t>
      </w:r>
    </w:p>
    <w:p w:rsidR="00975263" w:rsidRPr="007B4115" w:rsidRDefault="00975263" w:rsidP="00975263">
      <w:pPr>
        <w:pStyle w:val="a8"/>
        <w:shd w:val="clear" w:color="auto" w:fill="FFFFFF"/>
        <w:spacing w:before="0" w:beforeAutospacing="0" w:after="0" w:afterAutospacing="0" w:line="360" w:lineRule="auto"/>
        <w:ind w:left="780"/>
        <w:rPr>
          <w:rFonts w:cs="Arial"/>
          <w:color w:val="000000" w:themeColor="text1"/>
        </w:rPr>
      </w:pPr>
      <w:r>
        <w:rPr>
          <w:rFonts w:cs="Arial" w:hint="eastAsia"/>
          <w:color w:val="000000" w:themeColor="text1"/>
        </w:rPr>
        <w:t xml:space="preserve"> 3、</w:t>
      </w:r>
      <w:r w:rsidRPr="007B4115">
        <w:rPr>
          <w:rFonts w:cs="Arial"/>
          <w:color w:val="000000" w:themeColor="text1"/>
        </w:rPr>
        <w:t>引导毕业生树立正确的就业观念。开展形式多样宣传动员工作，利用</w:t>
      </w:r>
      <w:r>
        <w:rPr>
          <w:rFonts w:cs="Arial" w:hint="eastAsia"/>
          <w:color w:val="000000" w:themeColor="text1"/>
        </w:rPr>
        <w:t>召开就业</w:t>
      </w:r>
      <w:r w:rsidRPr="007B4115">
        <w:rPr>
          <w:rFonts w:cs="Arial" w:hint="eastAsia"/>
          <w:color w:val="000000" w:themeColor="text1"/>
        </w:rPr>
        <w:t>动员会、</w:t>
      </w:r>
      <w:r w:rsidRPr="007B4115">
        <w:rPr>
          <w:rFonts w:cs="Arial"/>
          <w:color w:val="000000" w:themeColor="text1"/>
        </w:rPr>
        <w:t>短信、</w:t>
      </w:r>
      <w:proofErr w:type="gramStart"/>
      <w:r w:rsidRPr="007B4115">
        <w:rPr>
          <w:rFonts w:cs="Arial"/>
          <w:color w:val="000000" w:themeColor="text1"/>
        </w:rPr>
        <w:t>微信等</w:t>
      </w:r>
      <w:proofErr w:type="gramEnd"/>
      <w:r>
        <w:rPr>
          <w:rFonts w:cs="Arial"/>
          <w:color w:val="000000" w:themeColor="text1"/>
        </w:rPr>
        <w:t>多种渠道</w:t>
      </w:r>
      <w:r w:rsidRPr="007B4115">
        <w:rPr>
          <w:rFonts w:cs="Arial"/>
          <w:color w:val="000000" w:themeColor="text1"/>
        </w:rPr>
        <w:t>宣传，帮助毕业生了解岗位信息和政策要求。加强对毕</w:t>
      </w:r>
      <w:r w:rsidRPr="007B4115">
        <w:rPr>
          <w:rFonts w:cs="Arial"/>
          <w:color w:val="000000" w:themeColor="text1"/>
        </w:rPr>
        <w:lastRenderedPageBreak/>
        <w:t>业生的思想教育和就业教育，帮助毕业生客观认识当前的就业形势，树立正确的就业观和成才观</w:t>
      </w:r>
      <w:r>
        <w:rPr>
          <w:rFonts w:cs="Arial" w:hint="eastAsia"/>
          <w:color w:val="000000" w:themeColor="text1"/>
        </w:rPr>
        <w:t>。</w:t>
      </w:r>
    </w:p>
    <w:p w:rsidR="00975263" w:rsidRPr="007B4115" w:rsidRDefault="00975263" w:rsidP="00975263">
      <w:pPr>
        <w:pStyle w:val="a8"/>
        <w:shd w:val="clear" w:color="auto" w:fill="FFFFFF"/>
        <w:spacing w:before="0" w:beforeAutospacing="0" w:after="0" w:afterAutospacing="0" w:line="360" w:lineRule="auto"/>
        <w:ind w:left="780"/>
        <w:rPr>
          <w:rFonts w:cs="Arial"/>
          <w:color w:val="000000" w:themeColor="text1"/>
        </w:rPr>
      </w:pPr>
      <w:r>
        <w:rPr>
          <w:rFonts w:cs="Arial" w:hint="eastAsia"/>
          <w:color w:val="000000" w:themeColor="text1"/>
          <w:shd w:val="clear" w:color="auto" w:fill="FFFFFF"/>
        </w:rPr>
        <w:t>4、</w:t>
      </w:r>
      <w:r w:rsidRPr="007B4115">
        <w:rPr>
          <w:rFonts w:cs="Arial"/>
          <w:color w:val="000000" w:themeColor="text1"/>
          <w:shd w:val="clear" w:color="auto" w:fill="FFFFFF"/>
        </w:rPr>
        <w:t>进一步健全就业统计督查机制，做好就业统计工作。毕业生就业情况开展调查和抽查，进一步掌握毕业生的就业状况、就业质量等情况，构建我</w:t>
      </w:r>
      <w:r w:rsidRPr="007B4115">
        <w:rPr>
          <w:rFonts w:cs="Arial" w:hint="eastAsia"/>
          <w:color w:val="000000" w:themeColor="text1"/>
          <w:shd w:val="clear" w:color="auto" w:fill="FFFFFF"/>
        </w:rPr>
        <w:t>院</w:t>
      </w:r>
      <w:r w:rsidRPr="007B4115">
        <w:rPr>
          <w:rFonts w:cs="Arial"/>
          <w:color w:val="000000" w:themeColor="text1"/>
          <w:shd w:val="clear" w:color="auto" w:fill="FFFFFF"/>
        </w:rPr>
        <w:t>毕业生就业情况监测和预警机制。</w:t>
      </w:r>
    </w:p>
    <w:p w:rsidR="00975263" w:rsidRPr="008B5191" w:rsidRDefault="00975263" w:rsidP="00975263">
      <w:pPr>
        <w:pStyle w:val="a3"/>
        <w:spacing w:line="360" w:lineRule="auto"/>
        <w:ind w:left="780" w:firstLineChars="0" w:firstLine="0"/>
        <w:rPr>
          <w:rFonts w:ascii="宋体" w:hAnsi="宋体"/>
          <w:sz w:val="24"/>
        </w:rPr>
      </w:pPr>
      <w:r>
        <w:rPr>
          <w:rFonts w:ascii="宋体" w:hAnsi="宋体" w:cs="Arial" w:hint="eastAsia"/>
          <w:color w:val="000000" w:themeColor="text1"/>
          <w:sz w:val="24"/>
          <w:shd w:val="clear" w:color="auto" w:fill="FFFFFF"/>
        </w:rPr>
        <w:t>5、</w:t>
      </w:r>
      <w:r w:rsidRPr="007B4115">
        <w:rPr>
          <w:rFonts w:ascii="宋体" w:hAnsi="宋体" w:cs="Arial"/>
          <w:color w:val="000000" w:themeColor="text1"/>
          <w:sz w:val="24"/>
          <w:shd w:val="clear" w:color="auto" w:fill="FFFFFF"/>
        </w:rPr>
        <w:t>强化离校未就业毕业生就业指导和服务。其尚未就业原因主要分为4种情况，第一种为已有意向就业单位;第二种为有创业意愿准备创业;第三种为目前正在择业或不确定就业单位;第四种为个人原因暂不就业。为促进离校未就业毕业生就业，对不同离校未就业毕业生群体，开展针对性的就业服务工作，深入实施离校未就业毕业生就业促进计划，并做好应届毕业生在离校阶段和离校后的信息衔接和服务接续工作</w:t>
      </w:r>
      <w:r w:rsidRPr="007B4115">
        <w:rPr>
          <w:rFonts w:ascii="宋体" w:hAnsi="宋体" w:cs="Arial" w:hint="eastAsia"/>
          <w:color w:val="000000" w:themeColor="text1"/>
          <w:sz w:val="24"/>
          <w:shd w:val="clear" w:color="auto" w:fill="FFFFFF"/>
        </w:rPr>
        <w:t>；</w:t>
      </w:r>
      <w:r w:rsidRPr="007B4115">
        <w:rPr>
          <w:rFonts w:ascii="宋体" w:hAnsi="宋体" w:cs="Arial"/>
          <w:color w:val="000000" w:themeColor="text1"/>
          <w:sz w:val="24"/>
          <w:shd w:val="clear" w:color="auto" w:fill="FFFFFF"/>
        </w:rPr>
        <w:t>配合</w:t>
      </w:r>
      <w:proofErr w:type="gramStart"/>
      <w:r w:rsidRPr="007B4115">
        <w:rPr>
          <w:rFonts w:ascii="宋体" w:hAnsi="宋体" w:cs="Arial"/>
          <w:color w:val="000000" w:themeColor="text1"/>
          <w:sz w:val="24"/>
          <w:shd w:val="clear" w:color="auto" w:fill="FFFFFF"/>
        </w:rPr>
        <w:t>人社部门</w:t>
      </w:r>
      <w:proofErr w:type="gramEnd"/>
      <w:r w:rsidRPr="007B4115">
        <w:rPr>
          <w:rFonts w:ascii="宋体" w:hAnsi="宋体" w:cs="Arial"/>
          <w:color w:val="000000" w:themeColor="text1"/>
          <w:sz w:val="24"/>
          <w:shd w:val="clear" w:color="auto" w:fill="FFFFFF"/>
        </w:rPr>
        <w:t>做好登记求职和失业毕业生的就业见习、职业培训、职业介绍、创业服务和落实相关扶持政策等服务活动。</w:t>
      </w:r>
    </w:p>
    <w:p w:rsidR="008B5191" w:rsidRPr="008B5191" w:rsidRDefault="008B5191" w:rsidP="008B5191">
      <w:pPr>
        <w:pStyle w:val="a3"/>
        <w:numPr>
          <w:ilvl w:val="0"/>
          <w:numId w:val="1"/>
        </w:numPr>
        <w:spacing w:line="360" w:lineRule="auto"/>
        <w:ind w:firstLineChars="0"/>
        <w:rPr>
          <w:rFonts w:ascii="宋体" w:hAnsi="宋体"/>
          <w:sz w:val="24"/>
        </w:rPr>
      </w:pPr>
      <w:r w:rsidRPr="008B5191">
        <w:rPr>
          <w:rFonts w:ascii="宋体" w:hAnsi="宋体" w:hint="eastAsia"/>
          <w:sz w:val="24"/>
        </w:rPr>
        <w:t>毕业生相关情况及就业率</w:t>
      </w:r>
    </w:p>
    <w:p w:rsidR="008B5191" w:rsidRDefault="008B5191" w:rsidP="008B5191">
      <w:pPr>
        <w:pStyle w:val="a3"/>
        <w:numPr>
          <w:ilvl w:val="0"/>
          <w:numId w:val="3"/>
        </w:numPr>
        <w:spacing w:line="360" w:lineRule="auto"/>
        <w:ind w:firstLineChars="0"/>
        <w:rPr>
          <w:rFonts w:ascii="宋体" w:hAnsi="宋体"/>
          <w:sz w:val="24"/>
        </w:rPr>
      </w:pPr>
      <w:r>
        <w:rPr>
          <w:rFonts w:ascii="宋体" w:hAnsi="宋体" w:hint="eastAsia"/>
          <w:sz w:val="24"/>
        </w:rPr>
        <w:t>就业率</w:t>
      </w:r>
    </w:p>
    <w:p w:rsidR="008B5191" w:rsidRPr="008B5191" w:rsidRDefault="00BA4CA9" w:rsidP="008B5191">
      <w:pPr>
        <w:spacing w:line="360" w:lineRule="auto"/>
        <w:ind w:left="420"/>
        <w:rPr>
          <w:rFonts w:ascii="宋体" w:hAnsi="宋体"/>
          <w:sz w:val="24"/>
        </w:rPr>
      </w:pPr>
      <w:bookmarkStart w:id="0" w:name="_GoBack"/>
      <w:bookmarkEnd w:id="0"/>
      <w:r>
        <w:rPr>
          <w:rFonts w:ascii="宋体" w:hAnsi="宋体" w:hint="eastAsia"/>
          <w:sz w:val="24"/>
        </w:rPr>
        <w:t>2017</w:t>
      </w:r>
      <w:r w:rsidR="008B5191" w:rsidRPr="008B5191">
        <w:rPr>
          <w:rFonts w:ascii="宋体" w:hAnsi="宋体" w:hint="eastAsia"/>
          <w:sz w:val="24"/>
        </w:rPr>
        <w:t>届</w:t>
      </w:r>
      <w:r>
        <w:rPr>
          <w:rFonts w:ascii="宋体" w:hAnsi="宋体" w:hint="eastAsia"/>
          <w:sz w:val="24"/>
        </w:rPr>
        <w:t>53</w:t>
      </w:r>
      <w:r w:rsidR="00C05537">
        <w:rPr>
          <w:rFonts w:ascii="宋体" w:hAnsi="宋体" w:hint="eastAsia"/>
          <w:sz w:val="24"/>
        </w:rPr>
        <w:t>2</w:t>
      </w:r>
      <w:r w:rsidR="008B5191" w:rsidRPr="008B5191">
        <w:rPr>
          <w:rFonts w:ascii="宋体" w:hAnsi="宋体" w:hint="eastAsia"/>
          <w:sz w:val="24"/>
        </w:rPr>
        <w:t>名毕业生，共有</w:t>
      </w:r>
      <w:r>
        <w:rPr>
          <w:rFonts w:ascii="宋体" w:hAnsi="宋体" w:hint="eastAsia"/>
          <w:sz w:val="24"/>
        </w:rPr>
        <w:t>452</w:t>
      </w:r>
      <w:r w:rsidR="008B5191" w:rsidRPr="008B5191">
        <w:rPr>
          <w:rFonts w:ascii="宋体" w:hAnsi="宋体" w:hint="eastAsia"/>
          <w:sz w:val="24"/>
        </w:rPr>
        <w:t>名毕业生已落实就业，总体初次就业率为8</w:t>
      </w:r>
      <w:r>
        <w:rPr>
          <w:rFonts w:ascii="宋体" w:hAnsi="宋体" w:hint="eastAsia"/>
          <w:sz w:val="24"/>
        </w:rPr>
        <w:t>4.96</w:t>
      </w:r>
      <w:r w:rsidR="008B5191" w:rsidRPr="008B5191">
        <w:rPr>
          <w:rFonts w:ascii="宋体" w:hAnsi="宋体" w:hint="eastAsia"/>
          <w:sz w:val="24"/>
        </w:rPr>
        <w:t>%。</w:t>
      </w:r>
    </w:p>
    <w:tbl>
      <w:tblPr>
        <w:tblStyle w:val="a4"/>
        <w:tblW w:w="0" w:type="auto"/>
        <w:jc w:val="center"/>
        <w:tblInd w:w="683" w:type="dxa"/>
        <w:tblLook w:val="04A0" w:firstRow="1" w:lastRow="0" w:firstColumn="1" w:lastColumn="0" w:noHBand="0" w:noVBand="1"/>
      </w:tblPr>
      <w:tblGrid>
        <w:gridCol w:w="2102"/>
        <w:gridCol w:w="2090"/>
        <w:gridCol w:w="2090"/>
        <w:gridCol w:w="2125"/>
      </w:tblGrid>
      <w:tr w:rsidR="008B5191" w:rsidTr="008B5191">
        <w:trPr>
          <w:trHeight w:val="458"/>
          <w:jc w:val="center"/>
        </w:trPr>
        <w:tc>
          <w:tcPr>
            <w:tcW w:w="2102" w:type="dxa"/>
          </w:tcPr>
          <w:p w:rsidR="008B5191" w:rsidRDefault="008B5191" w:rsidP="008B5191">
            <w:pPr>
              <w:pStyle w:val="a3"/>
              <w:spacing w:line="360" w:lineRule="auto"/>
              <w:ind w:firstLineChars="0" w:firstLine="0"/>
              <w:rPr>
                <w:rFonts w:ascii="宋体" w:hAnsi="宋体"/>
                <w:sz w:val="24"/>
              </w:rPr>
            </w:pPr>
            <w:r>
              <w:rPr>
                <w:rFonts w:ascii="宋体" w:hAnsi="宋体" w:hint="eastAsia"/>
                <w:sz w:val="24"/>
              </w:rPr>
              <w:t>年度</w:t>
            </w:r>
          </w:p>
        </w:tc>
        <w:tc>
          <w:tcPr>
            <w:tcW w:w="2090" w:type="dxa"/>
          </w:tcPr>
          <w:p w:rsidR="008B5191" w:rsidRDefault="008B5191" w:rsidP="008B5191">
            <w:pPr>
              <w:pStyle w:val="a3"/>
              <w:spacing w:line="360" w:lineRule="auto"/>
              <w:ind w:firstLineChars="0" w:firstLine="0"/>
              <w:rPr>
                <w:rFonts w:ascii="宋体" w:hAnsi="宋体"/>
                <w:sz w:val="24"/>
              </w:rPr>
            </w:pPr>
            <w:r>
              <w:rPr>
                <w:rFonts w:ascii="宋体" w:hAnsi="宋体" w:hint="eastAsia"/>
                <w:sz w:val="24"/>
              </w:rPr>
              <w:t>毕业生人数</w:t>
            </w:r>
          </w:p>
        </w:tc>
        <w:tc>
          <w:tcPr>
            <w:tcW w:w="2090" w:type="dxa"/>
          </w:tcPr>
          <w:p w:rsidR="008B5191" w:rsidRDefault="008B5191" w:rsidP="008B5191">
            <w:pPr>
              <w:pStyle w:val="a3"/>
              <w:spacing w:line="360" w:lineRule="auto"/>
              <w:ind w:firstLineChars="0" w:firstLine="0"/>
              <w:rPr>
                <w:rFonts w:ascii="宋体" w:hAnsi="宋体"/>
                <w:sz w:val="24"/>
              </w:rPr>
            </w:pPr>
            <w:r>
              <w:rPr>
                <w:rFonts w:ascii="宋体" w:hAnsi="宋体" w:hint="eastAsia"/>
                <w:sz w:val="24"/>
              </w:rPr>
              <w:t>就业人数</w:t>
            </w:r>
          </w:p>
        </w:tc>
        <w:tc>
          <w:tcPr>
            <w:tcW w:w="2125" w:type="dxa"/>
          </w:tcPr>
          <w:p w:rsidR="008B5191" w:rsidRDefault="008B5191" w:rsidP="008B5191">
            <w:pPr>
              <w:pStyle w:val="a3"/>
              <w:spacing w:line="360" w:lineRule="auto"/>
              <w:ind w:firstLineChars="0" w:firstLine="0"/>
              <w:rPr>
                <w:rFonts w:ascii="宋体" w:hAnsi="宋体"/>
                <w:sz w:val="24"/>
              </w:rPr>
            </w:pPr>
            <w:r>
              <w:rPr>
                <w:rFonts w:ascii="宋体" w:hAnsi="宋体" w:hint="eastAsia"/>
                <w:sz w:val="24"/>
              </w:rPr>
              <w:t>就业率</w:t>
            </w:r>
          </w:p>
        </w:tc>
      </w:tr>
      <w:tr w:rsidR="008B5191" w:rsidTr="008B5191">
        <w:trPr>
          <w:trHeight w:val="458"/>
          <w:jc w:val="center"/>
        </w:trPr>
        <w:tc>
          <w:tcPr>
            <w:tcW w:w="2102" w:type="dxa"/>
          </w:tcPr>
          <w:p w:rsidR="008B5191" w:rsidRDefault="00BA4CA9" w:rsidP="008B5191">
            <w:pPr>
              <w:pStyle w:val="a3"/>
              <w:spacing w:line="360" w:lineRule="auto"/>
              <w:ind w:firstLineChars="0" w:firstLine="0"/>
              <w:rPr>
                <w:rFonts w:ascii="宋体" w:hAnsi="宋体"/>
                <w:sz w:val="24"/>
              </w:rPr>
            </w:pPr>
            <w:r>
              <w:rPr>
                <w:rFonts w:ascii="宋体" w:hAnsi="宋体" w:hint="eastAsia"/>
                <w:sz w:val="24"/>
              </w:rPr>
              <w:t>2017</w:t>
            </w:r>
            <w:r w:rsidR="008B5191">
              <w:rPr>
                <w:rFonts w:ascii="宋体" w:hAnsi="宋体" w:hint="eastAsia"/>
                <w:sz w:val="24"/>
              </w:rPr>
              <w:t>届</w:t>
            </w:r>
          </w:p>
        </w:tc>
        <w:tc>
          <w:tcPr>
            <w:tcW w:w="2090" w:type="dxa"/>
          </w:tcPr>
          <w:p w:rsidR="008B5191" w:rsidRDefault="00BA4CA9" w:rsidP="008B5191">
            <w:pPr>
              <w:pStyle w:val="a3"/>
              <w:spacing w:line="360" w:lineRule="auto"/>
              <w:ind w:firstLineChars="0" w:firstLine="0"/>
              <w:rPr>
                <w:rFonts w:ascii="宋体" w:hAnsi="宋体"/>
                <w:sz w:val="24"/>
              </w:rPr>
            </w:pPr>
            <w:r>
              <w:rPr>
                <w:rFonts w:ascii="宋体" w:hAnsi="宋体" w:hint="eastAsia"/>
                <w:sz w:val="24"/>
              </w:rPr>
              <w:t>532</w:t>
            </w:r>
          </w:p>
        </w:tc>
        <w:tc>
          <w:tcPr>
            <w:tcW w:w="2090" w:type="dxa"/>
          </w:tcPr>
          <w:p w:rsidR="008B5191" w:rsidRDefault="00BA4CA9" w:rsidP="008B5191">
            <w:pPr>
              <w:pStyle w:val="a3"/>
              <w:spacing w:line="360" w:lineRule="auto"/>
              <w:ind w:firstLineChars="0" w:firstLine="0"/>
              <w:rPr>
                <w:rFonts w:ascii="宋体" w:hAnsi="宋体"/>
                <w:sz w:val="24"/>
              </w:rPr>
            </w:pPr>
            <w:r>
              <w:rPr>
                <w:rFonts w:ascii="宋体" w:hAnsi="宋体" w:hint="eastAsia"/>
                <w:sz w:val="24"/>
              </w:rPr>
              <w:t>452</w:t>
            </w:r>
          </w:p>
        </w:tc>
        <w:tc>
          <w:tcPr>
            <w:tcW w:w="2125" w:type="dxa"/>
          </w:tcPr>
          <w:p w:rsidR="008B5191" w:rsidRDefault="008B5191" w:rsidP="00BA4CA9">
            <w:pPr>
              <w:pStyle w:val="a3"/>
              <w:spacing w:line="360" w:lineRule="auto"/>
              <w:ind w:firstLineChars="0" w:firstLine="0"/>
              <w:rPr>
                <w:rFonts w:ascii="宋体" w:hAnsi="宋体"/>
                <w:sz w:val="24"/>
              </w:rPr>
            </w:pPr>
            <w:r>
              <w:rPr>
                <w:rFonts w:ascii="宋体" w:hAnsi="宋体" w:hint="eastAsia"/>
                <w:sz w:val="24"/>
              </w:rPr>
              <w:t>8</w:t>
            </w:r>
            <w:r w:rsidR="00BA4CA9">
              <w:rPr>
                <w:rFonts w:ascii="宋体" w:hAnsi="宋体" w:hint="eastAsia"/>
                <w:sz w:val="24"/>
              </w:rPr>
              <w:t>4.96</w:t>
            </w:r>
            <w:r>
              <w:rPr>
                <w:rFonts w:ascii="宋体" w:hAnsi="宋体" w:hint="eastAsia"/>
                <w:sz w:val="24"/>
              </w:rPr>
              <w:t>%</w:t>
            </w:r>
          </w:p>
        </w:tc>
      </w:tr>
    </w:tbl>
    <w:p w:rsidR="008B5191" w:rsidRPr="008B5191" w:rsidRDefault="000B2622" w:rsidP="008B5191">
      <w:pPr>
        <w:pStyle w:val="a3"/>
        <w:numPr>
          <w:ilvl w:val="0"/>
          <w:numId w:val="3"/>
        </w:numPr>
        <w:spacing w:line="360" w:lineRule="auto"/>
        <w:ind w:firstLineChars="0"/>
        <w:rPr>
          <w:rFonts w:ascii="宋体" w:hAnsi="宋体"/>
          <w:sz w:val="24"/>
        </w:rPr>
      </w:pPr>
      <w:r>
        <w:rPr>
          <w:rFonts w:ascii="宋体" w:hAnsi="宋体" w:hint="eastAsia"/>
          <w:sz w:val="24"/>
        </w:rPr>
        <w:t>毕业生系</w:t>
      </w:r>
      <w:r w:rsidR="008B5191" w:rsidRPr="008B5191">
        <w:rPr>
          <w:rFonts w:ascii="宋体" w:hAnsi="宋体" w:hint="eastAsia"/>
          <w:sz w:val="24"/>
        </w:rPr>
        <w:t>分布情况</w:t>
      </w:r>
      <w:r w:rsidR="008B5191">
        <w:rPr>
          <w:rFonts w:ascii="宋体" w:hAnsi="宋体" w:hint="eastAsia"/>
          <w:sz w:val="24"/>
        </w:rPr>
        <w:t>及就业率</w:t>
      </w:r>
    </w:p>
    <w:p w:rsidR="008B5191" w:rsidRDefault="00BA4CA9" w:rsidP="008B5191">
      <w:pPr>
        <w:pStyle w:val="a3"/>
        <w:spacing w:line="360" w:lineRule="auto"/>
        <w:ind w:left="780" w:firstLineChars="0" w:firstLine="0"/>
        <w:jc w:val="left"/>
        <w:rPr>
          <w:rFonts w:ascii="宋体" w:hAnsi="宋体"/>
          <w:sz w:val="24"/>
        </w:rPr>
      </w:pPr>
      <w:r>
        <w:rPr>
          <w:noProof/>
        </w:rPr>
        <w:drawing>
          <wp:inline distT="0" distB="0" distL="0" distR="0" wp14:anchorId="111F6730" wp14:editId="60F71E87">
            <wp:extent cx="4572000" cy="3162300"/>
            <wp:effectExtent l="0" t="0" r="19050" b="1905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B5191" w:rsidRDefault="00BA4CA9" w:rsidP="008B5191">
      <w:pPr>
        <w:pStyle w:val="a3"/>
        <w:spacing w:line="360" w:lineRule="auto"/>
        <w:ind w:left="780" w:firstLineChars="0" w:firstLine="0"/>
        <w:rPr>
          <w:rFonts w:ascii="宋体" w:hAnsi="宋体"/>
          <w:sz w:val="24"/>
        </w:rPr>
      </w:pPr>
      <w:r>
        <w:rPr>
          <w:noProof/>
        </w:rPr>
        <w:lastRenderedPageBreak/>
        <w:drawing>
          <wp:inline distT="0" distB="0" distL="0" distR="0" wp14:anchorId="020C3196" wp14:editId="58CEA022">
            <wp:extent cx="5095875" cy="3181350"/>
            <wp:effectExtent l="0" t="0" r="9525"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75263" w:rsidRPr="00975263" w:rsidRDefault="008B5191" w:rsidP="00975263">
      <w:pPr>
        <w:pStyle w:val="a3"/>
        <w:numPr>
          <w:ilvl w:val="0"/>
          <w:numId w:val="3"/>
        </w:numPr>
        <w:spacing w:line="360" w:lineRule="auto"/>
        <w:ind w:firstLineChars="0"/>
        <w:rPr>
          <w:rFonts w:ascii="宋体" w:hAnsi="宋体"/>
          <w:sz w:val="24"/>
        </w:rPr>
      </w:pPr>
      <w:r>
        <w:rPr>
          <w:rFonts w:ascii="宋体" w:hAnsi="宋体" w:hint="eastAsia"/>
          <w:sz w:val="24"/>
        </w:rPr>
        <w:t>毕业生专业就业率统计</w:t>
      </w:r>
    </w:p>
    <w:tbl>
      <w:tblPr>
        <w:tblW w:w="8096" w:type="dxa"/>
        <w:tblInd w:w="856" w:type="dxa"/>
        <w:tblLook w:val="04A0" w:firstRow="1" w:lastRow="0" w:firstColumn="1" w:lastColumn="0" w:noHBand="0" w:noVBand="1"/>
      </w:tblPr>
      <w:tblGrid>
        <w:gridCol w:w="1798"/>
        <w:gridCol w:w="1126"/>
        <w:gridCol w:w="1460"/>
        <w:gridCol w:w="2246"/>
        <w:gridCol w:w="1466"/>
      </w:tblGrid>
      <w:tr w:rsidR="00BA4CA9" w:rsidRPr="007B4115" w:rsidTr="00975263">
        <w:trPr>
          <w:trHeight w:val="497"/>
        </w:trPr>
        <w:tc>
          <w:tcPr>
            <w:tcW w:w="809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CA9" w:rsidRPr="007B4115" w:rsidRDefault="00BA4CA9" w:rsidP="009E3EAC">
            <w:pPr>
              <w:widowControl/>
              <w:jc w:val="center"/>
              <w:rPr>
                <w:rFonts w:ascii="宋体" w:hAnsi="宋体" w:cs="宋体"/>
                <w:color w:val="000000"/>
                <w:kern w:val="0"/>
                <w:sz w:val="24"/>
              </w:rPr>
            </w:pPr>
            <w:r>
              <w:rPr>
                <w:rFonts w:ascii="宋体" w:hAnsi="宋体" w:cs="宋体" w:hint="eastAsia"/>
                <w:color w:val="000000"/>
                <w:kern w:val="0"/>
                <w:sz w:val="24"/>
              </w:rPr>
              <w:t>2017届</w:t>
            </w:r>
            <w:r w:rsidRPr="007B4115">
              <w:rPr>
                <w:rFonts w:ascii="宋体" w:hAnsi="宋体" w:cs="宋体" w:hint="eastAsia"/>
                <w:color w:val="000000"/>
                <w:kern w:val="0"/>
                <w:sz w:val="24"/>
              </w:rPr>
              <w:t>毕业生专业就业率</w:t>
            </w:r>
          </w:p>
        </w:tc>
      </w:tr>
      <w:tr w:rsidR="00BA4CA9" w:rsidRPr="007B4115" w:rsidTr="00975263">
        <w:trPr>
          <w:trHeight w:val="524"/>
        </w:trPr>
        <w:tc>
          <w:tcPr>
            <w:tcW w:w="1798" w:type="dxa"/>
            <w:tcBorders>
              <w:top w:val="nil"/>
              <w:left w:val="single" w:sz="4" w:space="0" w:color="auto"/>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宋体"/>
                <w:color w:val="000000"/>
                <w:kern w:val="0"/>
                <w:sz w:val="24"/>
              </w:rPr>
            </w:pPr>
            <w:r w:rsidRPr="007B4115">
              <w:rPr>
                <w:rFonts w:ascii="宋体" w:hAnsi="宋体" w:cs="宋体" w:hint="eastAsia"/>
                <w:color w:val="000000"/>
                <w:kern w:val="0"/>
                <w:sz w:val="24"/>
              </w:rPr>
              <w:t>专业</w:t>
            </w:r>
          </w:p>
        </w:tc>
        <w:tc>
          <w:tcPr>
            <w:tcW w:w="1126"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宋体"/>
                <w:color w:val="000000"/>
                <w:kern w:val="0"/>
                <w:sz w:val="24"/>
              </w:rPr>
            </w:pPr>
            <w:r w:rsidRPr="007B4115">
              <w:rPr>
                <w:rFonts w:ascii="宋体" w:hAnsi="宋体" w:cs="宋体" w:hint="eastAsia"/>
                <w:color w:val="000000"/>
                <w:kern w:val="0"/>
                <w:sz w:val="24"/>
              </w:rPr>
              <w:t>毕业生</w:t>
            </w:r>
          </w:p>
        </w:tc>
        <w:tc>
          <w:tcPr>
            <w:tcW w:w="1460"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宋体"/>
                <w:color w:val="000000"/>
                <w:kern w:val="0"/>
                <w:sz w:val="24"/>
              </w:rPr>
            </w:pPr>
            <w:r w:rsidRPr="007B4115">
              <w:rPr>
                <w:rFonts w:ascii="宋体" w:hAnsi="宋体" w:cs="宋体" w:hint="eastAsia"/>
                <w:color w:val="000000"/>
                <w:kern w:val="0"/>
                <w:sz w:val="24"/>
              </w:rPr>
              <w:t>就业人数</w:t>
            </w:r>
          </w:p>
        </w:tc>
        <w:tc>
          <w:tcPr>
            <w:tcW w:w="2246"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宋体"/>
                <w:color w:val="000000"/>
                <w:kern w:val="0"/>
                <w:sz w:val="24"/>
              </w:rPr>
            </w:pPr>
            <w:r w:rsidRPr="007B4115">
              <w:rPr>
                <w:rFonts w:ascii="宋体" w:hAnsi="宋体" w:cs="宋体" w:hint="eastAsia"/>
                <w:color w:val="000000"/>
                <w:kern w:val="0"/>
                <w:sz w:val="24"/>
              </w:rPr>
              <w:t>专业就业率</w:t>
            </w:r>
          </w:p>
        </w:tc>
        <w:tc>
          <w:tcPr>
            <w:tcW w:w="1465"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宋体"/>
                <w:color w:val="000000"/>
                <w:kern w:val="0"/>
                <w:sz w:val="24"/>
              </w:rPr>
            </w:pPr>
            <w:r w:rsidRPr="007B4115">
              <w:rPr>
                <w:rFonts w:ascii="宋体" w:hAnsi="宋体" w:cs="宋体" w:hint="eastAsia"/>
                <w:color w:val="000000"/>
                <w:kern w:val="0"/>
                <w:sz w:val="24"/>
              </w:rPr>
              <w:t>备注</w:t>
            </w:r>
          </w:p>
        </w:tc>
      </w:tr>
      <w:tr w:rsidR="00BA4CA9" w:rsidRPr="007B4115" w:rsidTr="00975263">
        <w:trPr>
          <w:trHeight w:val="554"/>
        </w:trPr>
        <w:tc>
          <w:tcPr>
            <w:tcW w:w="1798" w:type="dxa"/>
            <w:tcBorders>
              <w:top w:val="nil"/>
              <w:left w:val="single" w:sz="4" w:space="0" w:color="auto"/>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宋体"/>
                <w:color w:val="000000"/>
                <w:kern w:val="0"/>
                <w:sz w:val="24"/>
              </w:rPr>
            </w:pPr>
            <w:r w:rsidRPr="007B4115">
              <w:rPr>
                <w:rFonts w:ascii="宋体" w:hAnsi="宋体" w:cs="宋体" w:hint="eastAsia"/>
                <w:color w:val="000000"/>
                <w:kern w:val="0"/>
                <w:sz w:val="24"/>
              </w:rPr>
              <w:t>会计</w:t>
            </w:r>
          </w:p>
        </w:tc>
        <w:tc>
          <w:tcPr>
            <w:tcW w:w="1126"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115</w:t>
            </w:r>
          </w:p>
        </w:tc>
        <w:tc>
          <w:tcPr>
            <w:tcW w:w="1460"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98</w:t>
            </w:r>
          </w:p>
        </w:tc>
        <w:tc>
          <w:tcPr>
            <w:tcW w:w="2246"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85.22%</w:t>
            </w:r>
          </w:p>
        </w:tc>
        <w:tc>
          <w:tcPr>
            <w:tcW w:w="1465"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p>
        </w:tc>
      </w:tr>
      <w:tr w:rsidR="00BA4CA9" w:rsidRPr="007B4115" w:rsidTr="00975263">
        <w:trPr>
          <w:trHeight w:val="554"/>
        </w:trPr>
        <w:tc>
          <w:tcPr>
            <w:tcW w:w="1798" w:type="dxa"/>
            <w:tcBorders>
              <w:top w:val="nil"/>
              <w:left w:val="single" w:sz="4" w:space="0" w:color="auto"/>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宋体"/>
                <w:color w:val="000000"/>
                <w:kern w:val="0"/>
                <w:sz w:val="24"/>
              </w:rPr>
            </w:pPr>
            <w:r w:rsidRPr="007B4115">
              <w:rPr>
                <w:rFonts w:ascii="宋体" w:hAnsi="宋体" w:cs="宋体" w:hint="eastAsia"/>
                <w:color w:val="000000"/>
                <w:kern w:val="0"/>
                <w:sz w:val="24"/>
              </w:rPr>
              <w:t>电子商务</w:t>
            </w:r>
          </w:p>
        </w:tc>
        <w:tc>
          <w:tcPr>
            <w:tcW w:w="1126"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81</w:t>
            </w:r>
          </w:p>
        </w:tc>
        <w:tc>
          <w:tcPr>
            <w:tcW w:w="1460"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70</w:t>
            </w:r>
          </w:p>
        </w:tc>
        <w:tc>
          <w:tcPr>
            <w:tcW w:w="2246"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86.42%</w:t>
            </w:r>
          </w:p>
        </w:tc>
        <w:tc>
          <w:tcPr>
            <w:tcW w:w="1465"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p>
        </w:tc>
      </w:tr>
      <w:tr w:rsidR="00BA4CA9" w:rsidRPr="007B4115" w:rsidTr="00975263">
        <w:trPr>
          <w:trHeight w:val="554"/>
        </w:trPr>
        <w:tc>
          <w:tcPr>
            <w:tcW w:w="1798" w:type="dxa"/>
            <w:tcBorders>
              <w:top w:val="nil"/>
              <w:left w:val="single" w:sz="4" w:space="0" w:color="auto"/>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宋体"/>
                <w:color w:val="000000"/>
                <w:kern w:val="0"/>
                <w:sz w:val="24"/>
              </w:rPr>
            </w:pPr>
            <w:r w:rsidRPr="007B4115">
              <w:rPr>
                <w:rFonts w:ascii="宋体" w:hAnsi="宋体" w:cs="宋体" w:hint="eastAsia"/>
                <w:color w:val="000000"/>
                <w:kern w:val="0"/>
                <w:sz w:val="24"/>
              </w:rPr>
              <w:t>市场营销</w:t>
            </w:r>
          </w:p>
        </w:tc>
        <w:tc>
          <w:tcPr>
            <w:tcW w:w="1126"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30</w:t>
            </w:r>
          </w:p>
        </w:tc>
        <w:tc>
          <w:tcPr>
            <w:tcW w:w="1460"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25</w:t>
            </w:r>
          </w:p>
        </w:tc>
        <w:tc>
          <w:tcPr>
            <w:tcW w:w="2246"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83.33%</w:t>
            </w:r>
          </w:p>
        </w:tc>
        <w:tc>
          <w:tcPr>
            <w:tcW w:w="1465"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p>
        </w:tc>
      </w:tr>
      <w:tr w:rsidR="00BA4CA9" w:rsidRPr="007B4115" w:rsidTr="00975263">
        <w:trPr>
          <w:trHeight w:val="554"/>
        </w:trPr>
        <w:tc>
          <w:tcPr>
            <w:tcW w:w="1798" w:type="dxa"/>
            <w:tcBorders>
              <w:top w:val="nil"/>
              <w:left w:val="single" w:sz="4" w:space="0" w:color="auto"/>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宋体"/>
                <w:color w:val="000000"/>
                <w:kern w:val="0"/>
                <w:sz w:val="24"/>
              </w:rPr>
            </w:pPr>
            <w:r w:rsidRPr="007B4115">
              <w:rPr>
                <w:rFonts w:ascii="宋体" w:hAnsi="宋体" w:cs="宋体" w:hint="eastAsia"/>
                <w:color w:val="000000"/>
                <w:kern w:val="0"/>
                <w:sz w:val="24"/>
              </w:rPr>
              <w:t>学前教育</w:t>
            </w:r>
          </w:p>
        </w:tc>
        <w:tc>
          <w:tcPr>
            <w:tcW w:w="1126"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96</w:t>
            </w:r>
          </w:p>
        </w:tc>
        <w:tc>
          <w:tcPr>
            <w:tcW w:w="1460"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83</w:t>
            </w:r>
          </w:p>
        </w:tc>
        <w:tc>
          <w:tcPr>
            <w:tcW w:w="2246"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86.46%</w:t>
            </w:r>
          </w:p>
        </w:tc>
        <w:tc>
          <w:tcPr>
            <w:tcW w:w="1465"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p>
        </w:tc>
      </w:tr>
      <w:tr w:rsidR="00BA4CA9" w:rsidRPr="007B4115" w:rsidTr="00975263">
        <w:trPr>
          <w:trHeight w:val="554"/>
        </w:trPr>
        <w:tc>
          <w:tcPr>
            <w:tcW w:w="1798" w:type="dxa"/>
            <w:tcBorders>
              <w:top w:val="nil"/>
              <w:left w:val="single" w:sz="4" w:space="0" w:color="auto"/>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宋体"/>
                <w:color w:val="000000"/>
                <w:kern w:val="0"/>
                <w:sz w:val="24"/>
              </w:rPr>
            </w:pPr>
            <w:r w:rsidRPr="007B4115">
              <w:rPr>
                <w:rFonts w:ascii="宋体" w:hAnsi="宋体" w:cs="宋体" w:hint="eastAsia"/>
                <w:color w:val="000000"/>
                <w:kern w:val="0"/>
                <w:sz w:val="24"/>
              </w:rPr>
              <w:t>工商</w:t>
            </w:r>
          </w:p>
        </w:tc>
        <w:tc>
          <w:tcPr>
            <w:tcW w:w="1126"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26</w:t>
            </w:r>
          </w:p>
        </w:tc>
        <w:tc>
          <w:tcPr>
            <w:tcW w:w="1460"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22</w:t>
            </w:r>
          </w:p>
        </w:tc>
        <w:tc>
          <w:tcPr>
            <w:tcW w:w="2246"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84.62%</w:t>
            </w:r>
          </w:p>
        </w:tc>
        <w:tc>
          <w:tcPr>
            <w:tcW w:w="1465"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p>
        </w:tc>
      </w:tr>
      <w:tr w:rsidR="00BA4CA9" w:rsidRPr="007B4115" w:rsidTr="00975263">
        <w:trPr>
          <w:trHeight w:val="554"/>
        </w:trPr>
        <w:tc>
          <w:tcPr>
            <w:tcW w:w="1798" w:type="dxa"/>
            <w:tcBorders>
              <w:top w:val="nil"/>
              <w:left w:val="single" w:sz="4" w:space="0" w:color="auto"/>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宋体"/>
                <w:color w:val="000000"/>
                <w:kern w:val="0"/>
                <w:sz w:val="24"/>
              </w:rPr>
            </w:pPr>
            <w:r w:rsidRPr="007B4115">
              <w:rPr>
                <w:rFonts w:ascii="宋体" w:hAnsi="宋体" w:cs="宋体" w:hint="eastAsia"/>
                <w:color w:val="000000"/>
                <w:kern w:val="0"/>
                <w:sz w:val="24"/>
              </w:rPr>
              <w:t>计算机</w:t>
            </w:r>
          </w:p>
        </w:tc>
        <w:tc>
          <w:tcPr>
            <w:tcW w:w="1126"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21</w:t>
            </w:r>
          </w:p>
        </w:tc>
        <w:tc>
          <w:tcPr>
            <w:tcW w:w="1460"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17</w:t>
            </w:r>
          </w:p>
        </w:tc>
        <w:tc>
          <w:tcPr>
            <w:tcW w:w="2246"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80.95%</w:t>
            </w:r>
          </w:p>
        </w:tc>
        <w:tc>
          <w:tcPr>
            <w:tcW w:w="1465"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p>
        </w:tc>
      </w:tr>
      <w:tr w:rsidR="00BA4CA9" w:rsidRPr="007B4115" w:rsidTr="00975263">
        <w:trPr>
          <w:trHeight w:val="554"/>
        </w:trPr>
        <w:tc>
          <w:tcPr>
            <w:tcW w:w="1798" w:type="dxa"/>
            <w:tcBorders>
              <w:top w:val="nil"/>
              <w:left w:val="single" w:sz="4" w:space="0" w:color="auto"/>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宋体"/>
                <w:color w:val="000000"/>
                <w:kern w:val="0"/>
                <w:sz w:val="24"/>
              </w:rPr>
            </w:pPr>
            <w:r w:rsidRPr="007B4115">
              <w:rPr>
                <w:rFonts w:ascii="宋体" w:hAnsi="宋体" w:cs="宋体" w:hint="eastAsia"/>
                <w:color w:val="000000"/>
                <w:kern w:val="0"/>
                <w:sz w:val="24"/>
              </w:rPr>
              <w:t>建筑</w:t>
            </w:r>
          </w:p>
        </w:tc>
        <w:tc>
          <w:tcPr>
            <w:tcW w:w="1126"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41</w:t>
            </w:r>
          </w:p>
        </w:tc>
        <w:tc>
          <w:tcPr>
            <w:tcW w:w="1460"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35</w:t>
            </w:r>
          </w:p>
        </w:tc>
        <w:tc>
          <w:tcPr>
            <w:tcW w:w="2246"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85.37%</w:t>
            </w:r>
          </w:p>
        </w:tc>
        <w:tc>
          <w:tcPr>
            <w:tcW w:w="1465"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p>
        </w:tc>
      </w:tr>
      <w:tr w:rsidR="00BA4CA9" w:rsidRPr="007B4115" w:rsidTr="00975263">
        <w:trPr>
          <w:trHeight w:val="554"/>
        </w:trPr>
        <w:tc>
          <w:tcPr>
            <w:tcW w:w="1798" w:type="dxa"/>
            <w:tcBorders>
              <w:top w:val="nil"/>
              <w:left w:val="single" w:sz="4" w:space="0" w:color="auto"/>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宋体"/>
                <w:color w:val="000000"/>
                <w:kern w:val="0"/>
                <w:sz w:val="24"/>
              </w:rPr>
            </w:pPr>
            <w:r w:rsidRPr="007B4115">
              <w:rPr>
                <w:rFonts w:ascii="宋体" w:hAnsi="宋体" w:cs="宋体" w:hint="eastAsia"/>
                <w:color w:val="000000"/>
                <w:kern w:val="0"/>
                <w:sz w:val="24"/>
              </w:rPr>
              <w:t>机电</w:t>
            </w:r>
          </w:p>
        </w:tc>
        <w:tc>
          <w:tcPr>
            <w:tcW w:w="1126"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63</w:t>
            </w:r>
          </w:p>
        </w:tc>
        <w:tc>
          <w:tcPr>
            <w:tcW w:w="1460"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53</w:t>
            </w:r>
          </w:p>
        </w:tc>
        <w:tc>
          <w:tcPr>
            <w:tcW w:w="2246"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84.13%</w:t>
            </w:r>
          </w:p>
        </w:tc>
        <w:tc>
          <w:tcPr>
            <w:tcW w:w="1465"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p>
        </w:tc>
      </w:tr>
      <w:tr w:rsidR="00BA4CA9" w:rsidRPr="007B4115" w:rsidTr="00975263">
        <w:trPr>
          <w:trHeight w:val="554"/>
        </w:trPr>
        <w:tc>
          <w:tcPr>
            <w:tcW w:w="1798" w:type="dxa"/>
            <w:tcBorders>
              <w:top w:val="nil"/>
              <w:left w:val="single" w:sz="4" w:space="0" w:color="auto"/>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宋体"/>
                <w:color w:val="000000"/>
                <w:kern w:val="0"/>
                <w:sz w:val="24"/>
              </w:rPr>
            </w:pPr>
            <w:r w:rsidRPr="007B4115">
              <w:rPr>
                <w:rFonts w:ascii="宋体" w:hAnsi="宋体" w:cs="宋体" w:hint="eastAsia"/>
                <w:color w:val="000000"/>
                <w:kern w:val="0"/>
                <w:sz w:val="24"/>
              </w:rPr>
              <w:t>广告</w:t>
            </w:r>
          </w:p>
        </w:tc>
        <w:tc>
          <w:tcPr>
            <w:tcW w:w="1126"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20</w:t>
            </w:r>
          </w:p>
        </w:tc>
        <w:tc>
          <w:tcPr>
            <w:tcW w:w="1460"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17</w:t>
            </w:r>
          </w:p>
        </w:tc>
        <w:tc>
          <w:tcPr>
            <w:tcW w:w="2246"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85.00%</w:t>
            </w:r>
          </w:p>
        </w:tc>
        <w:tc>
          <w:tcPr>
            <w:tcW w:w="1465"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p>
        </w:tc>
      </w:tr>
      <w:tr w:rsidR="00BA4CA9" w:rsidRPr="007B4115" w:rsidTr="00975263">
        <w:trPr>
          <w:trHeight w:val="554"/>
        </w:trPr>
        <w:tc>
          <w:tcPr>
            <w:tcW w:w="1798" w:type="dxa"/>
            <w:tcBorders>
              <w:top w:val="nil"/>
              <w:left w:val="single" w:sz="4" w:space="0" w:color="auto"/>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宋体"/>
                <w:color w:val="000000"/>
                <w:kern w:val="0"/>
                <w:sz w:val="24"/>
              </w:rPr>
            </w:pPr>
            <w:r w:rsidRPr="007B4115">
              <w:rPr>
                <w:rFonts w:ascii="宋体" w:hAnsi="宋体" w:cs="宋体" w:hint="eastAsia"/>
                <w:color w:val="000000"/>
                <w:kern w:val="0"/>
                <w:sz w:val="24"/>
              </w:rPr>
              <w:t>商务英语</w:t>
            </w:r>
          </w:p>
        </w:tc>
        <w:tc>
          <w:tcPr>
            <w:tcW w:w="1126"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15</w:t>
            </w:r>
          </w:p>
        </w:tc>
        <w:tc>
          <w:tcPr>
            <w:tcW w:w="1460"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12</w:t>
            </w:r>
          </w:p>
        </w:tc>
        <w:tc>
          <w:tcPr>
            <w:tcW w:w="2246"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80.00%</w:t>
            </w:r>
          </w:p>
        </w:tc>
        <w:tc>
          <w:tcPr>
            <w:tcW w:w="1465"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p>
        </w:tc>
      </w:tr>
      <w:tr w:rsidR="00BA4CA9" w:rsidRPr="007B4115" w:rsidTr="00975263">
        <w:trPr>
          <w:trHeight w:val="584"/>
        </w:trPr>
        <w:tc>
          <w:tcPr>
            <w:tcW w:w="1798" w:type="dxa"/>
            <w:tcBorders>
              <w:top w:val="nil"/>
              <w:left w:val="single" w:sz="4" w:space="0" w:color="auto"/>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宋体"/>
                <w:color w:val="000000"/>
                <w:kern w:val="0"/>
                <w:sz w:val="24"/>
              </w:rPr>
            </w:pPr>
            <w:r w:rsidRPr="007B4115">
              <w:rPr>
                <w:rFonts w:ascii="宋体" w:hAnsi="宋体" w:cs="宋体" w:hint="eastAsia"/>
                <w:color w:val="000000"/>
                <w:kern w:val="0"/>
                <w:sz w:val="24"/>
              </w:rPr>
              <w:t>装潢艺术设计</w:t>
            </w:r>
          </w:p>
        </w:tc>
        <w:tc>
          <w:tcPr>
            <w:tcW w:w="1126"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24</w:t>
            </w:r>
          </w:p>
        </w:tc>
        <w:tc>
          <w:tcPr>
            <w:tcW w:w="1460"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20</w:t>
            </w:r>
          </w:p>
        </w:tc>
        <w:tc>
          <w:tcPr>
            <w:tcW w:w="2246"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83.33%</w:t>
            </w:r>
          </w:p>
        </w:tc>
        <w:tc>
          <w:tcPr>
            <w:tcW w:w="1465"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p>
        </w:tc>
      </w:tr>
      <w:tr w:rsidR="00BA4CA9" w:rsidRPr="007B4115" w:rsidTr="00975263">
        <w:trPr>
          <w:trHeight w:val="554"/>
        </w:trPr>
        <w:tc>
          <w:tcPr>
            <w:tcW w:w="1798" w:type="dxa"/>
            <w:tcBorders>
              <w:top w:val="nil"/>
              <w:left w:val="single" w:sz="4" w:space="0" w:color="auto"/>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宋体"/>
                <w:color w:val="000000"/>
                <w:kern w:val="0"/>
                <w:sz w:val="24"/>
              </w:rPr>
            </w:pPr>
            <w:r w:rsidRPr="007B4115">
              <w:rPr>
                <w:rFonts w:ascii="宋体" w:hAnsi="宋体" w:cs="宋体" w:hint="eastAsia"/>
                <w:color w:val="000000"/>
                <w:kern w:val="0"/>
                <w:sz w:val="24"/>
              </w:rPr>
              <w:t>小计</w:t>
            </w:r>
          </w:p>
        </w:tc>
        <w:tc>
          <w:tcPr>
            <w:tcW w:w="1126"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532</w:t>
            </w:r>
          </w:p>
        </w:tc>
        <w:tc>
          <w:tcPr>
            <w:tcW w:w="1460"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452</w:t>
            </w:r>
          </w:p>
        </w:tc>
        <w:tc>
          <w:tcPr>
            <w:tcW w:w="2246"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r w:rsidRPr="007B4115">
              <w:rPr>
                <w:rFonts w:ascii="宋体" w:hAnsi="宋体" w:cs="Arial"/>
                <w:color w:val="000000"/>
                <w:kern w:val="0"/>
                <w:sz w:val="24"/>
              </w:rPr>
              <w:t>84.96%</w:t>
            </w:r>
          </w:p>
        </w:tc>
        <w:tc>
          <w:tcPr>
            <w:tcW w:w="1465" w:type="dxa"/>
            <w:tcBorders>
              <w:top w:val="nil"/>
              <w:left w:val="nil"/>
              <w:bottom w:val="single" w:sz="4" w:space="0" w:color="auto"/>
              <w:right w:val="single" w:sz="4" w:space="0" w:color="auto"/>
            </w:tcBorders>
            <w:shd w:val="clear" w:color="auto" w:fill="auto"/>
            <w:vAlign w:val="center"/>
            <w:hideMark/>
          </w:tcPr>
          <w:p w:rsidR="00BA4CA9" w:rsidRPr="007B4115" w:rsidRDefault="00BA4CA9" w:rsidP="009E3EAC">
            <w:pPr>
              <w:widowControl/>
              <w:jc w:val="center"/>
              <w:rPr>
                <w:rFonts w:ascii="宋体" w:hAnsi="宋体" w:cs="Arial"/>
                <w:color w:val="000000"/>
                <w:kern w:val="0"/>
                <w:sz w:val="24"/>
              </w:rPr>
            </w:pPr>
          </w:p>
        </w:tc>
      </w:tr>
    </w:tbl>
    <w:p w:rsidR="008B5191" w:rsidRPr="00BA4CA9" w:rsidRDefault="008B5191" w:rsidP="00BA4CA9">
      <w:pPr>
        <w:spacing w:line="360" w:lineRule="auto"/>
        <w:rPr>
          <w:rFonts w:ascii="宋体" w:hAnsi="宋体"/>
          <w:sz w:val="24"/>
        </w:rPr>
      </w:pPr>
    </w:p>
    <w:p w:rsidR="008B5191" w:rsidRDefault="00BA4CA9" w:rsidP="008B5191">
      <w:pPr>
        <w:spacing w:line="360" w:lineRule="auto"/>
        <w:jc w:val="center"/>
        <w:rPr>
          <w:rFonts w:ascii="宋体" w:hAnsi="宋体"/>
          <w:sz w:val="24"/>
        </w:rPr>
      </w:pPr>
      <w:r>
        <w:rPr>
          <w:noProof/>
        </w:rPr>
        <w:drawing>
          <wp:inline distT="0" distB="0" distL="0" distR="0" wp14:anchorId="4046D198" wp14:editId="70A81D4A">
            <wp:extent cx="5286375" cy="3714750"/>
            <wp:effectExtent l="0" t="0" r="9525" b="1905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B5191" w:rsidRPr="008B5191" w:rsidRDefault="008B5191" w:rsidP="008B5191">
      <w:pPr>
        <w:spacing w:line="360" w:lineRule="auto"/>
        <w:rPr>
          <w:rFonts w:ascii="宋体" w:hAnsi="宋体"/>
          <w:sz w:val="24"/>
        </w:rPr>
      </w:pPr>
    </w:p>
    <w:sectPr w:rsidR="008B5191" w:rsidRPr="008B5191" w:rsidSect="0099429B">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7BD" w:rsidRDefault="00D337BD" w:rsidP="000B2622">
      <w:r>
        <w:separator/>
      </w:r>
    </w:p>
  </w:endnote>
  <w:endnote w:type="continuationSeparator" w:id="0">
    <w:p w:rsidR="00D337BD" w:rsidRDefault="00D337BD" w:rsidP="000B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7BD" w:rsidRDefault="00D337BD" w:rsidP="000B2622">
      <w:r>
        <w:separator/>
      </w:r>
    </w:p>
  </w:footnote>
  <w:footnote w:type="continuationSeparator" w:id="0">
    <w:p w:rsidR="00D337BD" w:rsidRDefault="00D337BD" w:rsidP="000B2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1C00"/>
    <w:multiLevelType w:val="hybridMultilevel"/>
    <w:tmpl w:val="05FCF5D2"/>
    <w:lvl w:ilvl="0" w:tplc="ADA0677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A191915"/>
    <w:multiLevelType w:val="hybridMultilevel"/>
    <w:tmpl w:val="8D3CBFAE"/>
    <w:lvl w:ilvl="0" w:tplc="EA56A8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725A309F"/>
    <w:multiLevelType w:val="hybridMultilevel"/>
    <w:tmpl w:val="4AE2506C"/>
    <w:lvl w:ilvl="0" w:tplc="A644F5B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22B"/>
    <w:rsid w:val="000B2622"/>
    <w:rsid w:val="000C10D4"/>
    <w:rsid w:val="002B6F4D"/>
    <w:rsid w:val="003100A8"/>
    <w:rsid w:val="003B150A"/>
    <w:rsid w:val="00695360"/>
    <w:rsid w:val="006B01DB"/>
    <w:rsid w:val="00864609"/>
    <w:rsid w:val="008B5191"/>
    <w:rsid w:val="00975263"/>
    <w:rsid w:val="0099429B"/>
    <w:rsid w:val="00BA4CA9"/>
    <w:rsid w:val="00C05537"/>
    <w:rsid w:val="00D337BD"/>
    <w:rsid w:val="00E54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1D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B5191"/>
    <w:pPr>
      <w:ind w:firstLineChars="200" w:firstLine="420"/>
    </w:pPr>
  </w:style>
  <w:style w:type="table" w:styleId="a4">
    <w:name w:val="Table Grid"/>
    <w:basedOn w:val="a1"/>
    <w:uiPriority w:val="59"/>
    <w:rsid w:val="008B5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8B5191"/>
    <w:rPr>
      <w:sz w:val="18"/>
      <w:szCs w:val="18"/>
    </w:rPr>
  </w:style>
  <w:style w:type="character" w:customStyle="1" w:styleId="Char">
    <w:name w:val="批注框文本 Char"/>
    <w:basedOn w:val="a0"/>
    <w:link w:val="a5"/>
    <w:uiPriority w:val="99"/>
    <w:semiHidden/>
    <w:rsid w:val="008B5191"/>
    <w:rPr>
      <w:rFonts w:ascii="Calibri" w:hAnsi="Calibri"/>
      <w:kern w:val="2"/>
      <w:sz w:val="18"/>
      <w:szCs w:val="18"/>
    </w:rPr>
  </w:style>
  <w:style w:type="paragraph" w:styleId="a6">
    <w:name w:val="header"/>
    <w:basedOn w:val="a"/>
    <w:link w:val="Char0"/>
    <w:uiPriority w:val="99"/>
    <w:unhideWhenUsed/>
    <w:rsid w:val="000B26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B2622"/>
    <w:rPr>
      <w:rFonts w:ascii="Calibri" w:hAnsi="Calibri"/>
      <w:kern w:val="2"/>
      <w:sz w:val="18"/>
      <w:szCs w:val="18"/>
    </w:rPr>
  </w:style>
  <w:style w:type="paragraph" w:styleId="a7">
    <w:name w:val="footer"/>
    <w:basedOn w:val="a"/>
    <w:link w:val="Char1"/>
    <w:uiPriority w:val="99"/>
    <w:unhideWhenUsed/>
    <w:rsid w:val="000B2622"/>
    <w:pPr>
      <w:tabs>
        <w:tab w:val="center" w:pos="4153"/>
        <w:tab w:val="right" w:pos="8306"/>
      </w:tabs>
      <w:snapToGrid w:val="0"/>
      <w:jc w:val="left"/>
    </w:pPr>
    <w:rPr>
      <w:sz w:val="18"/>
      <w:szCs w:val="18"/>
    </w:rPr>
  </w:style>
  <w:style w:type="character" w:customStyle="1" w:styleId="Char1">
    <w:name w:val="页脚 Char"/>
    <w:basedOn w:val="a0"/>
    <w:link w:val="a7"/>
    <w:uiPriority w:val="99"/>
    <w:rsid w:val="000B2622"/>
    <w:rPr>
      <w:rFonts w:ascii="Calibri" w:hAnsi="Calibri"/>
      <w:kern w:val="2"/>
      <w:sz w:val="18"/>
      <w:szCs w:val="18"/>
    </w:rPr>
  </w:style>
  <w:style w:type="paragraph" w:styleId="a8">
    <w:name w:val="Normal (Web)"/>
    <w:basedOn w:val="a"/>
    <w:uiPriority w:val="99"/>
    <w:semiHidden/>
    <w:unhideWhenUsed/>
    <w:rsid w:val="00975263"/>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1D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B5191"/>
    <w:pPr>
      <w:ind w:firstLineChars="200" w:firstLine="420"/>
    </w:pPr>
  </w:style>
  <w:style w:type="table" w:styleId="a4">
    <w:name w:val="Table Grid"/>
    <w:basedOn w:val="a1"/>
    <w:uiPriority w:val="59"/>
    <w:rsid w:val="008B5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8B5191"/>
    <w:rPr>
      <w:sz w:val="18"/>
      <w:szCs w:val="18"/>
    </w:rPr>
  </w:style>
  <w:style w:type="character" w:customStyle="1" w:styleId="Char">
    <w:name w:val="批注框文本 Char"/>
    <w:basedOn w:val="a0"/>
    <w:link w:val="a5"/>
    <w:uiPriority w:val="99"/>
    <w:semiHidden/>
    <w:rsid w:val="008B5191"/>
    <w:rPr>
      <w:rFonts w:ascii="Calibri" w:hAnsi="Calibri"/>
      <w:kern w:val="2"/>
      <w:sz w:val="18"/>
      <w:szCs w:val="18"/>
    </w:rPr>
  </w:style>
  <w:style w:type="paragraph" w:styleId="a6">
    <w:name w:val="header"/>
    <w:basedOn w:val="a"/>
    <w:link w:val="Char0"/>
    <w:uiPriority w:val="99"/>
    <w:unhideWhenUsed/>
    <w:rsid w:val="000B26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B2622"/>
    <w:rPr>
      <w:rFonts w:ascii="Calibri" w:hAnsi="Calibri"/>
      <w:kern w:val="2"/>
      <w:sz w:val="18"/>
      <w:szCs w:val="18"/>
    </w:rPr>
  </w:style>
  <w:style w:type="paragraph" w:styleId="a7">
    <w:name w:val="footer"/>
    <w:basedOn w:val="a"/>
    <w:link w:val="Char1"/>
    <w:uiPriority w:val="99"/>
    <w:unhideWhenUsed/>
    <w:rsid w:val="000B2622"/>
    <w:pPr>
      <w:tabs>
        <w:tab w:val="center" w:pos="4153"/>
        <w:tab w:val="right" w:pos="8306"/>
      </w:tabs>
      <w:snapToGrid w:val="0"/>
      <w:jc w:val="left"/>
    </w:pPr>
    <w:rPr>
      <w:sz w:val="18"/>
      <w:szCs w:val="18"/>
    </w:rPr>
  </w:style>
  <w:style w:type="character" w:customStyle="1" w:styleId="Char1">
    <w:name w:val="页脚 Char"/>
    <w:basedOn w:val="a0"/>
    <w:link w:val="a7"/>
    <w:uiPriority w:val="99"/>
    <w:rsid w:val="000B2622"/>
    <w:rPr>
      <w:rFonts w:ascii="Calibri" w:hAnsi="Calibri"/>
      <w:kern w:val="2"/>
      <w:sz w:val="18"/>
      <w:szCs w:val="18"/>
    </w:rPr>
  </w:style>
  <w:style w:type="paragraph" w:styleId="a8">
    <w:name w:val="Normal (Web)"/>
    <w:basedOn w:val="a"/>
    <w:uiPriority w:val="99"/>
    <w:semiHidden/>
    <w:unhideWhenUsed/>
    <w:rsid w:val="0097526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zdd\Desktop\&#26032;&#24314;%20Microsoft%20Excel%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zdd\Desktop\&#26032;&#24314;%20Microsoft%20Excel%20&#24037;&#20316;&#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zdd\Desktop\&#26032;&#24314;%20Microsoft%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zh-CN" altLang="en-US" sz="1800" b="1" i="0" u="none" strike="noStrike" kern="1200" baseline="0">
                <a:solidFill>
                  <a:sysClr val="windowText" lastClr="000000"/>
                </a:solidFill>
                <a:latin typeface="+mn-lt"/>
                <a:ea typeface="+mn-ea"/>
                <a:cs typeface="+mn-cs"/>
              </a:rPr>
              <a:t>成人脱产</a:t>
            </a:r>
            <a:r>
              <a:rPr lang="zh-CN" altLang="en-US"/>
              <a:t>毕业生分布图</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howLegendKey val="0"/>
            <c:showVal val="1"/>
            <c:showCatName val="0"/>
            <c:showSerName val="0"/>
            <c:showPercent val="0"/>
            <c:showBubbleSize val="0"/>
            <c:showLeaderLines val="0"/>
          </c:dLbls>
          <c:cat>
            <c:strRef>
              <c:f>Sheet1!$A$2:$A$4</c:f>
              <c:strCache>
                <c:ptCount val="3"/>
                <c:pt idx="0">
                  <c:v>经管系</c:v>
                </c:pt>
                <c:pt idx="1">
                  <c:v>工程系</c:v>
                </c:pt>
                <c:pt idx="2">
                  <c:v>文法系</c:v>
                </c:pt>
              </c:strCache>
            </c:strRef>
          </c:cat>
          <c:val>
            <c:numRef>
              <c:f>Sheet1!$B$2:$B$4</c:f>
              <c:numCache>
                <c:formatCode>General</c:formatCode>
                <c:ptCount val="3"/>
                <c:pt idx="0">
                  <c:v>252</c:v>
                </c:pt>
                <c:pt idx="1">
                  <c:v>125</c:v>
                </c:pt>
                <c:pt idx="2">
                  <c:v>155</c:v>
                </c:pt>
              </c:numCache>
            </c:numRef>
          </c:val>
        </c:ser>
        <c:dLbls>
          <c:showLegendKey val="0"/>
          <c:showVal val="0"/>
          <c:showCatName val="0"/>
          <c:showSerName val="0"/>
          <c:showPercent val="0"/>
          <c:showBubbleSize val="0"/>
        </c:dLbls>
        <c:gapWidth val="150"/>
        <c:shape val="box"/>
        <c:axId val="190647296"/>
        <c:axId val="190809216"/>
        <c:axId val="0"/>
      </c:bar3DChart>
      <c:catAx>
        <c:axId val="190647296"/>
        <c:scaling>
          <c:orientation val="minMax"/>
        </c:scaling>
        <c:delete val="0"/>
        <c:axPos val="b"/>
        <c:majorTickMark val="out"/>
        <c:minorTickMark val="none"/>
        <c:tickLblPos val="nextTo"/>
        <c:crossAx val="190809216"/>
        <c:crosses val="autoZero"/>
        <c:auto val="1"/>
        <c:lblAlgn val="ctr"/>
        <c:lblOffset val="100"/>
        <c:noMultiLvlLbl val="0"/>
      </c:catAx>
      <c:valAx>
        <c:axId val="190809216"/>
        <c:scaling>
          <c:orientation val="minMax"/>
        </c:scaling>
        <c:delete val="0"/>
        <c:axPos val="l"/>
        <c:majorGridlines/>
        <c:numFmt formatCode="General" sourceLinked="1"/>
        <c:majorTickMark val="out"/>
        <c:minorTickMark val="none"/>
        <c:tickLblPos val="nextTo"/>
        <c:crossAx val="19064729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zh-CN" altLang="en-US"/>
              <a:t>各系毕业生就业率</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Sheet1!$A$2:$A$4</c:f>
              <c:strCache>
                <c:ptCount val="3"/>
                <c:pt idx="0">
                  <c:v>经管系</c:v>
                </c:pt>
                <c:pt idx="1">
                  <c:v>工程系</c:v>
                </c:pt>
                <c:pt idx="2">
                  <c:v>文法系</c:v>
                </c:pt>
              </c:strCache>
            </c:strRef>
          </c:cat>
          <c:val>
            <c:numRef>
              <c:f>Sheet1!$D$2:$D$4</c:f>
              <c:numCache>
                <c:formatCode>0.00%</c:formatCode>
                <c:ptCount val="3"/>
                <c:pt idx="0">
                  <c:v>0.85317460317460314</c:v>
                </c:pt>
                <c:pt idx="1">
                  <c:v>0.84</c:v>
                </c:pt>
                <c:pt idx="2">
                  <c:v>0.85161290322580641</c:v>
                </c:pt>
              </c:numCache>
            </c:numRef>
          </c:val>
        </c:ser>
        <c:dLbls>
          <c:showLegendKey val="0"/>
          <c:showVal val="1"/>
          <c:showCatName val="0"/>
          <c:showSerName val="0"/>
          <c:showPercent val="0"/>
          <c:showBubbleSize val="0"/>
        </c:dLbls>
        <c:gapWidth val="150"/>
        <c:shape val="box"/>
        <c:axId val="191020032"/>
        <c:axId val="205801728"/>
        <c:axId val="0"/>
      </c:bar3DChart>
      <c:catAx>
        <c:axId val="191020032"/>
        <c:scaling>
          <c:orientation val="minMax"/>
        </c:scaling>
        <c:delete val="0"/>
        <c:axPos val="b"/>
        <c:majorTickMark val="out"/>
        <c:minorTickMark val="none"/>
        <c:tickLblPos val="nextTo"/>
        <c:crossAx val="205801728"/>
        <c:crosses val="autoZero"/>
        <c:auto val="1"/>
        <c:lblAlgn val="ctr"/>
        <c:lblOffset val="100"/>
        <c:noMultiLvlLbl val="0"/>
      </c:catAx>
      <c:valAx>
        <c:axId val="205801728"/>
        <c:scaling>
          <c:orientation val="minMax"/>
        </c:scaling>
        <c:delete val="0"/>
        <c:axPos val="l"/>
        <c:majorGridlines/>
        <c:numFmt formatCode="0.00%" sourceLinked="1"/>
        <c:majorTickMark val="out"/>
        <c:minorTickMark val="none"/>
        <c:tickLblPos val="nextTo"/>
        <c:crossAx val="19102003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US" altLang="zh-CN" sz="1800" b="1" i="0" baseline="0">
                <a:effectLst/>
              </a:rPr>
              <a:t>2017</a:t>
            </a:r>
            <a:r>
              <a:rPr lang="zh-CN" altLang="zh-CN" sz="1800" b="1" i="0" baseline="0">
                <a:effectLst/>
              </a:rPr>
              <a:t>届</a:t>
            </a:r>
            <a:r>
              <a:rPr lang="zh-CN" altLang="zh-CN" sz="1800" b="1" i="0" u="none" strike="noStrike" kern="1200" baseline="0">
                <a:solidFill>
                  <a:sysClr val="windowText" lastClr="000000"/>
                </a:solidFill>
                <a:effectLst/>
                <a:latin typeface="+mn-lt"/>
                <a:ea typeface="+mn-ea"/>
                <a:cs typeface="+mn-cs"/>
              </a:rPr>
              <a:t>成人脱产</a:t>
            </a:r>
            <a:r>
              <a:rPr lang="zh-CN" altLang="zh-CN" sz="1800" b="1" i="0" baseline="0">
                <a:effectLst/>
              </a:rPr>
              <a:t>毕业生专业就业率</a:t>
            </a:r>
            <a:endParaRPr lang="zh-CN" altLang="zh-CN">
              <a:effectLst/>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Sheet1!$A$48:$A$58</c:f>
              <c:strCache>
                <c:ptCount val="11"/>
                <c:pt idx="0">
                  <c:v>会计</c:v>
                </c:pt>
                <c:pt idx="1">
                  <c:v>电子商务</c:v>
                </c:pt>
                <c:pt idx="2">
                  <c:v>市场营销</c:v>
                </c:pt>
                <c:pt idx="3">
                  <c:v>学前教育</c:v>
                </c:pt>
                <c:pt idx="4">
                  <c:v>工商</c:v>
                </c:pt>
                <c:pt idx="5">
                  <c:v>计算机</c:v>
                </c:pt>
                <c:pt idx="6">
                  <c:v>建筑</c:v>
                </c:pt>
                <c:pt idx="7">
                  <c:v>机电</c:v>
                </c:pt>
                <c:pt idx="8">
                  <c:v>广告</c:v>
                </c:pt>
                <c:pt idx="9">
                  <c:v>商务英语</c:v>
                </c:pt>
                <c:pt idx="10">
                  <c:v>装潢艺术设计</c:v>
                </c:pt>
              </c:strCache>
            </c:strRef>
          </c:cat>
          <c:val>
            <c:numRef>
              <c:f>Sheet1!$D$48:$D$58</c:f>
              <c:numCache>
                <c:formatCode>0.00%</c:formatCode>
                <c:ptCount val="11"/>
                <c:pt idx="0">
                  <c:v>0.85219999999999996</c:v>
                </c:pt>
                <c:pt idx="1">
                  <c:v>0.86419999999999997</c:v>
                </c:pt>
                <c:pt idx="2">
                  <c:v>0.83330000000000004</c:v>
                </c:pt>
                <c:pt idx="3">
                  <c:v>0.86460000000000004</c:v>
                </c:pt>
                <c:pt idx="4">
                  <c:v>0.84619999999999995</c:v>
                </c:pt>
                <c:pt idx="5">
                  <c:v>0.8095</c:v>
                </c:pt>
                <c:pt idx="6">
                  <c:v>0.85370000000000001</c:v>
                </c:pt>
                <c:pt idx="7">
                  <c:v>0.84130000000000005</c:v>
                </c:pt>
                <c:pt idx="8">
                  <c:v>0.85</c:v>
                </c:pt>
                <c:pt idx="9">
                  <c:v>0.8</c:v>
                </c:pt>
                <c:pt idx="10">
                  <c:v>0.83330000000000004</c:v>
                </c:pt>
              </c:numCache>
            </c:numRef>
          </c:val>
        </c:ser>
        <c:dLbls>
          <c:showLegendKey val="0"/>
          <c:showVal val="1"/>
          <c:showCatName val="0"/>
          <c:showSerName val="0"/>
          <c:showPercent val="0"/>
          <c:showBubbleSize val="0"/>
        </c:dLbls>
        <c:gapWidth val="150"/>
        <c:shape val="box"/>
        <c:axId val="416161792"/>
        <c:axId val="416163712"/>
        <c:axId val="0"/>
      </c:bar3DChart>
      <c:catAx>
        <c:axId val="416161792"/>
        <c:scaling>
          <c:orientation val="minMax"/>
        </c:scaling>
        <c:delete val="0"/>
        <c:axPos val="b"/>
        <c:majorTickMark val="out"/>
        <c:minorTickMark val="none"/>
        <c:tickLblPos val="nextTo"/>
        <c:crossAx val="416163712"/>
        <c:crosses val="autoZero"/>
        <c:auto val="1"/>
        <c:lblAlgn val="ctr"/>
        <c:lblOffset val="100"/>
        <c:noMultiLvlLbl val="0"/>
      </c:catAx>
      <c:valAx>
        <c:axId val="416163712"/>
        <c:scaling>
          <c:orientation val="minMax"/>
        </c:scaling>
        <c:delete val="0"/>
        <c:axPos val="l"/>
        <c:majorGridlines/>
        <c:numFmt formatCode="0.00%" sourceLinked="1"/>
        <c:majorTickMark val="out"/>
        <c:minorTickMark val="none"/>
        <c:tickLblPos val="nextTo"/>
        <c:crossAx val="41616179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tzdd</dc:creator>
  <cp:lastModifiedBy>HP</cp:lastModifiedBy>
  <cp:revision>5</cp:revision>
  <dcterms:created xsi:type="dcterms:W3CDTF">2017-09-05T05:38:00Z</dcterms:created>
  <dcterms:modified xsi:type="dcterms:W3CDTF">2017-09-06T08:41:00Z</dcterms:modified>
</cp:coreProperties>
</file>