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43" w:rsidRPr="00E32978" w:rsidRDefault="00A22C43" w:rsidP="00A22C43">
      <w:pPr>
        <w:spacing w:line="360" w:lineRule="auto"/>
        <w:ind w:left="987" w:right="987" w:firstLine="643"/>
        <w:jc w:val="center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浙江广播电视大学成人专科教育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建筑经济管理专业培养方案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A22C43" w:rsidRPr="00E32978" w:rsidRDefault="00A22C43" w:rsidP="00E32978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 xml:space="preserve">执笔人：曹晓萌                       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A22C43" w:rsidRPr="00E32978" w:rsidRDefault="00A22C43" w:rsidP="00E32978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一、培养目标及规格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以适应生产、建设、管理第一线需求为基本依据，以岗位适应性为导向，本专业毕业生要求具有一定的理论知识和较强的实践能力，应具备以下基本素质和应用技能：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1. 热爱社会主义祖国，拥护中国共产党的领导，具有为国家富强、民族振兴而奋斗的理想、事业心和责任感。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2. 初步掌握一门外语，能够使用外语进行简单交流并能读懂简单的外文资料。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3. 具有较强的现代信息技术应用能力，提高现代信息技术素养。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4. 具备一定的自我管理能力、表达能力和人际交往能力。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5. 具备一定的法律基础常识，具有依法办事的思维。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6. 具有运用建筑基本理论知识、建筑经济基本知识、财务管理基本知识的能力；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7. 具有建筑工程计量、计价、预决算及成本分析的能力；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8. 具有识读各种土建施工图的能力；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9. 具有对常用建筑材料性能进行检验和评定的能力。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10. 具有施工现场的测量放样及工程控制测量的能力。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11. 具有组织建筑工程现场施工与管理，解决一般技术问题的能力。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12. 具有编制建筑工程施工组织设计与高层建筑专项技术方案的能力。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13. 具有合同管理的能力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14. 具有市场营销的基本常识的能力；</w:t>
      </w:r>
    </w:p>
    <w:p w:rsidR="00A22C43" w:rsidRPr="00E32978" w:rsidRDefault="00ED3406" w:rsidP="00E32978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二</w:t>
      </w:r>
      <w:r w:rsidR="00A22C43" w:rsidRPr="00E32978">
        <w:rPr>
          <w:rFonts w:ascii="仿宋" w:eastAsia="仿宋" w:hAnsi="仿宋" w:hint="eastAsia"/>
          <w:b/>
          <w:sz w:val="24"/>
        </w:rPr>
        <w:t>、培养模式和教学方式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lastRenderedPageBreak/>
        <w:t>（一）培养模式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（二）教学方式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A22C43" w:rsidRPr="00E32978" w:rsidRDefault="00ED3406" w:rsidP="00E32978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三</w:t>
      </w:r>
      <w:r w:rsidR="00A22C43" w:rsidRPr="00E32978">
        <w:rPr>
          <w:rFonts w:ascii="仿宋" w:eastAsia="仿宋" w:hAnsi="仿宋" w:hint="eastAsia"/>
          <w:b/>
          <w:sz w:val="24"/>
        </w:rPr>
        <w:t>、知识、能力结构及其支撑课程（活动）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建筑经济管理专业知识、能力结构及支撑课程一览表</w:t>
      </w:r>
    </w:p>
    <w:tbl>
      <w:tblPr>
        <w:tblW w:w="8938" w:type="dxa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2"/>
        <w:gridCol w:w="5744"/>
        <w:gridCol w:w="2692"/>
      </w:tblGrid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中国特色社会主义理论体系概论、思想道德修养与法律基础等</w:t>
            </w:r>
          </w:p>
        </w:tc>
      </w:tr>
      <w:tr w:rsidR="00A22C43" w:rsidRPr="00E32978" w:rsidTr="00DE011B">
        <w:trPr>
          <w:trHeight w:val="521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思想道德修养与法律基础等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具备一定的数学、物理等理工科基本知识，提高分析问题解决问题的能力。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高等数学基础、大学物理等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具备一定的建筑专业基本常识，具有较强的专业素养，能够分析建筑施工图纸，掌握基本建筑结构类型。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建筑工程识图、建筑材料、建筑测量、建筑构造、土木工程CAD、计算机绘图实训等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具备较强的建筑经济管理与项目管理的能力，具有建筑工程计量、计价、预决算及成本分析的能力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建筑技术经济与管理、建筑工程项目管理、建筑工程计量与计价、资源与运营管理等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具有一定的建筑施工及管理能力，具有解决一般建筑</w:t>
            </w: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技术问题的能力。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建筑施工技术、施工技</w:t>
            </w: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术方案设计等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具备一定的工程监理、工程招投标和建设法规的基本知识。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工程建设监理概论、工程招投标管理、建设法规等</w:t>
            </w:r>
          </w:p>
        </w:tc>
      </w:tr>
    </w:tbl>
    <w:p w:rsidR="00A22C43" w:rsidRPr="00E32978" w:rsidRDefault="00ED3406" w:rsidP="00E32978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四</w:t>
      </w:r>
      <w:r w:rsidR="00A22C43" w:rsidRPr="00E32978">
        <w:rPr>
          <w:rFonts w:ascii="仿宋" w:eastAsia="仿宋" w:hAnsi="仿宋" w:hint="eastAsia"/>
          <w:b/>
          <w:sz w:val="24"/>
        </w:rPr>
        <w:t>、课程</w:t>
      </w:r>
      <w:r w:rsidRPr="00E32978">
        <w:rPr>
          <w:rFonts w:ascii="仿宋" w:eastAsia="仿宋" w:hAnsi="仿宋" w:hint="eastAsia"/>
          <w:b/>
          <w:sz w:val="24"/>
        </w:rPr>
        <w:t>设置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（一）公共基础课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该模块最低毕业学分为17分。</w:t>
      </w:r>
    </w:p>
    <w:p w:rsidR="00ED3406" w:rsidRPr="00E32978" w:rsidRDefault="00ED3406" w:rsidP="00ED340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</w:t>
      </w:r>
      <w:r w:rsidR="00A22C43" w:rsidRPr="00E32978">
        <w:rPr>
          <w:rFonts w:ascii="仿宋" w:eastAsia="仿宋" w:hAnsi="仿宋" w:hint="eastAsia"/>
          <w:sz w:val="24"/>
        </w:rPr>
        <w:t>大学信息技术应用基础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中国特色社会主义理论体系概论</w:t>
      </w:r>
      <w:r w:rsidRPr="00E32978">
        <w:rPr>
          <w:rFonts w:ascii="仿宋" w:eastAsia="仿宋" w:hAnsi="仿宋" w:hint="eastAsia"/>
          <w:sz w:val="24"/>
        </w:rPr>
        <w:t>、高等数学基础、体育（1）、（2）、（3）、（4）、思想道德修养与法律基础。</w:t>
      </w:r>
    </w:p>
    <w:p w:rsidR="00A22C43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实用英语（上）、（下）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大学生人文素养基础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实用写作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大学生心理健康教育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（二）职业基础课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该模块最低毕业学分为25分。</w:t>
      </w:r>
    </w:p>
    <w:p w:rsidR="00ED3406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必修课：建筑材料、建筑工程识图、建筑力学、建筑工程项目管理。</w:t>
      </w:r>
    </w:p>
    <w:p w:rsidR="00A22C43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大学物理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建筑构造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建筑构造实训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经济学基础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建筑结构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建筑结构实训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房地产经营与管理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（三）职业技能课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该模块最低毕业学分为25分。</w:t>
      </w:r>
    </w:p>
    <w:p w:rsidR="00E32978" w:rsidRPr="00E32978" w:rsidRDefault="00E32978" w:rsidP="00A22C43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E32978">
        <w:rPr>
          <w:rFonts w:ascii="仿宋" w:eastAsia="仿宋" w:hAnsi="仿宋" w:hint="eastAsia"/>
          <w:sz w:val="24"/>
        </w:rPr>
        <w:t>必修课：建筑工程计量与计价、建筑技术经济与管理、单位工程施工组织设计。</w:t>
      </w:r>
    </w:p>
    <w:p w:rsidR="00A22C43" w:rsidRPr="00E32978" w:rsidRDefault="00E32978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建筑测量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工程建设监理概论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土木工程CAD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建筑施工技术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工程招投标概论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建筑施工技术方案设计</w:t>
      </w:r>
      <w:r w:rsidRPr="00E32978">
        <w:rPr>
          <w:rFonts w:ascii="仿宋" w:eastAsia="仿宋" w:hAnsi="仿宋" w:hint="eastAsia"/>
          <w:sz w:val="24"/>
        </w:rPr>
        <w:t>、专业证书课程、职业证书课程（1）、职业证书课程（2）。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（四）职业延展课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该模块最低毕业学分为10分。</w:t>
      </w:r>
    </w:p>
    <w:p w:rsidR="00A22C43" w:rsidRPr="00E32978" w:rsidRDefault="00E32978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测量实习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资源与运营管理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建筑设备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计算机绘图实训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地基基础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城市固体废物处理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建设法规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钢结构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高层建筑施工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（五）综合实践（略）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lastRenderedPageBreak/>
        <w:t>（六）考级考证课</w:t>
      </w:r>
    </w:p>
    <w:tbl>
      <w:tblPr>
        <w:tblW w:w="8665" w:type="dxa"/>
        <w:jc w:val="center"/>
        <w:tblInd w:w="803" w:type="dxa"/>
        <w:tblLook w:val="04A0"/>
      </w:tblPr>
      <w:tblGrid>
        <w:gridCol w:w="1930"/>
        <w:gridCol w:w="1915"/>
        <w:gridCol w:w="2552"/>
        <w:gridCol w:w="567"/>
        <w:gridCol w:w="1701"/>
      </w:tblGrid>
      <w:tr w:rsidR="00A22C43" w:rsidRPr="00E32978" w:rsidTr="00DE011B">
        <w:trPr>
          <w:trHeight w:val="402"/>
          <w:jc w:val="center"/>
        </w:trPr>
        <w:tc>
          <w:tcPr>
            <w:tcW w:w="8665" w:type="dxa"/>
            <w:gridSpan w:val="5"/>
            <w:noWrap/>
            <w:vAlign w:val="center"/>
            <w:hideMark/>
          </w:tcPr>
          <w:p w:rsidR="00A22C43" w:rsidRPr="00E32978" w:rsidRDefault="00A22C43" w:rsidP="00DE011B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bookmarkStart w:id="0" w:name="RANGE!A2"/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浙江广播电视大学成人专科教育建筑工程技术专业相关岗位培训、</w:t>
            </w:r>
            <w:bookmarkEnd w:id="0"/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86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22C43" w:rsidRPr="00E32978" w:rsidRDefault="00A22C43" w:rsidP="00DE011B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颁证单位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proofErr w:type="gramStart"/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造价员</w:t>
            </w:r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建筑工程计量与计价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监理员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工程建设监理概论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制图员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土木工程CAD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杭州市劳动局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施工员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建筑施工技术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材料员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建筑材料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资料员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建筑工程技术资料管理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</w:tbl>
    <w:p w:rsidR="00A22C43" w:rsidRPr="00E32978" w:rsidRDefault="00ED3406" w:rsidP="00E32978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五</w:t>
      </w:r>
      <w:r w:rsidR="00A22C43" w:rsidRPr="00E32978">
        <w:rPr>
          <w:rFonts w:ascii="仿宋" w:eastAsia="仿宋" w:hAnsi="仿宋" w:hint="eastAsia"/>
          <w:b/>
          <w:sz w:val="24"/>
        </w:rPr>
        <w:t>、学制与毕业</w:t>
      </w:r>
    </w:p>
    <w:p w:rsidR="00A22C43" w:rsidRPr="00E32978" w:rsidRDefault="00A22C43" w:rsidP="00A22C43">
      <w:pPr>
        <w:pStyle w:val="a3"/>
        <w:spacing w:beforeLines="50" w:afterLines="50"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32978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A22C43" w:rsidRPr="00E32978" w:rsidRDefault="00A22C43" w:rsidP="00A22C43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sz w:val="24"/>
        </w:rPr>
        <w:t>附表：浙江广播电视大学成人专科教育建筑经济管理专业培养方案进程表</w:t>
      </w:r>
    </w:p>
    <w:p w:rsidR="00A22C43" w:rsidRPr="00E32978" w:rsidRDefault="00A22C43" w:rsidP="00A22C43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E32978" w:rsidRDefault="0017635E">
      <w:pPr>
        <w:rPr>
          <w:rFonts w:ascii="仿宋" w:eastAsia="仿宋" w:hAnsi="仿宋"/>
          <w:sz w:val="24"/>
        </w:rPr>
      </w:pPr>
    </w:p>
    <w:sectPr w:rsidR="0017635E" w:rsidRPr="00E32978" w:rsidSect="00A46FE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CF" w:rsidRDefault="00E3297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CF" w:rsidRDefault="00E3297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CF" w:rsidRDefault="00E32978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CF" w:rsidRDefault="00E3297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CF" w:rsidRDefault="00E3297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CF" w:rsidRDefault="00E3297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2C43"/>
    <w:rsid w:val="00026109"/>
    <w:rsid w:val="00060DBE"/>
    <w:rsid w:val="00094769"/>
    <w:rsid w:val="000B2D84"/>
    <w:rsid w:val="000F17C3"/>
    <w:rsid w:val="00171630"/>
    <w:rsid w:val="0017635E"/>
    <w:rsid w:val="001F0326"/>
    <w:rsid w:val="001F2674"/>
    <w:rsid w:val="00247DA3"/>
    <w:rsid w:val="00266C7A"/>
    <w:rsid w:val="0027282E"/>
    <w:rsid w:val="00352712"/>
    <w:rsid w:val="003A34FB"/>
    <w:rsid w:val="003B27F8"/>
    <w:rsid w:val="003C309D"/>
    <w:rsid w:val="003F1E4E"/>
    <w:rsid w:val="00420FCB"/>
    <w:rsid w:val="00443ACE"/>
    <w:rsid w:val="00461BD1"/>
    <w:rsid w:val="004633BA"/>
    <w:rsid w:val="00465A74"/>
    <w:rsid w:val="004705C4"/>
    <w:rsid w:val="004C3CDF"/>
    <w:rsid w:val="004D37EB"/>
    <w:rsid w:val="005259FE"/>
    <w:rsid w:val="005E3A72"/>
    <w:rsid w:val="006028F9"/>
    <w:rsid w:val="0062567F"/>
    <w:rsid w:val="0062781D"/>
    <w:rsid w:val="006E3FFA"/>
    <w:rsid w:val="007436AA"/>
    <w:rsid w:val="007B1471"/>
    <w:rsid w:val="007F1770"/>
    <w:rsid w:val="0084767A"/>
    <w:rsid w:val="008A11DA"/>
    <w:rsid w:val="008C16E5"/>
    <w:rsid w:val="008C3027"/>
    <w:rsid w:val="0092783E"/>
    <w:rsid w:val="009F3DB1"/>
    <w:rsid w:val="00A103D8"/>
    <w:rsid w:val="00A22C43"/>
    <w:rsid w:val="00A66328"/>
    <w:rsid w:val="00A76BE4"/>
    <w:rsid w:val="00AE0EBB"/>
    <w:rsid w:val="00B057CE"/>
    <w:rsid w:val="00B214FE"/>
    <w:rsid w:val="00B41F5F"/>
    <w:rsid w:val="00C67214"/>
    <w:rsid w:val="00CA19CC"/>
    <w:rsid w:val="00D05165"/>
    <w:rsid w:val="00D24A46"/>
    <w:rsid w:val="00DA663B"/>
    <w:rsid w:val="00DA7F48"/>
    <w:rsid w:val="00E32978"/>
    <w:rsid w:val="00E60565"/>
    <w:rsid w:val="00E64B8A"/>
    <w:rsid w:val="00E776CA"/>
    <w:rsid w:val="00EC0FA9"/>
    <w:rsid w:val="00ED3406"/>
    <w:rsid w:val="00EF02A9"/>
    <w:rsid w:val="00F62BA8"/>
    <w:rsid w:val="00F91C6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3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A22C43"/>
    <w:rPr>
      <w:rFonts w:ascii="仿宋_GB2312" w:eastAsia="仿宋_GB2312" w:hAnsi="Calibri" w:cs="Times New Roman"/>
      <w:sz w:val="24"/>
    </w:rPr>
  </w:style>
  <w:style w:type="paragraph" w:customStyle="1" w:styleId="a4">
    <w:name w:val="方案正文"/>
    <w:basedOn w:val="a"/>
    <w:link w:val="CharChar"/>
    <w:rsid w:val="00A22C43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A22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22C4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22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22C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378</Words>
  <Characters>2157</Characters>
  <Application>Microsoft Office Word</Application>
  <DocSecurity>0</DocSecurity>
  <Lines>17</Lines>
  <Paragraphs>5</Paragraphs>
  <ScaleCrop>false</ScaleCrop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2016-01-04T01:45:00Z</dcterms:created>
  <dcterms:modified xsi:type="dcterms:W3CDTF">2016-01-04T02:09:00Z</dcterms:modified>
</cp:coreProperties>
</file>