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color w:val="FF0000"/>
          <w:w w:val="66"/>
          <w:szCs w:val="21"/>
          <w:lang w:val="en-US"/>
        </w:rPr>
      </w:pP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color w:val="FF0000"/>
          <w:w w:val="66"/>
          <w:szCs w:val="21"/>
          <w:lang w:val="en-US"/>
        </w:rPr>
      </w:pP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color w:val="FF0000"/>
          <w:w w:val="66"/>
          <w:szCs w:val="21"/>
          <w:lang w:val="en-US"/>
        </w:rPr>
      </w:pP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color w:val="FF0000"/>
          <w:w w:val="66"/>
          <w:szCs w:val="21"/>
          <w:lang w:val="en-US"/>
        </w:rPr>
      </w:pPr>
    </w:p>
    <w:p>
      <w:pPr>
        <w:keepNext w:val="0"/>
        <w:keepLines w:val="0"/>
        <w:widowControl w:val="0"/>
        <w:suppressLineNumbers w:val="0"/>
        <w:spacing w:before="0" w:beforeAutospacing="0" w:after="0" w:afterAutospacing="0"/>
        <w:ind w:left="0" w:right="0"/>
        <w:jc w:val="center"/>
        <w:rPr>
          <w:rFonts w:hint="eastAsia" w:ascii="方正小标宋_GBK" w:hAnsi="华文中宋" w:eastAsia="方正小标宋_GBK" w:cs="方正小标宋_GBK"/>
          <w:color w:val="FF0000"/>
          <w:w w:val="66"/>
          <w:sz w:val="84"/>
          <w:szCs w:val="84"/>
          <w:lang w:val="en-US"/>
        </w:rPr>
      </w:pPr>
      <w:r>
        <w:rPr>
          <w:rFonts w:hint="eastAsia" w:ascii="方正小标宋_GBK" w:hAnsi="华文中宋" w:eastAsia="方正小标宋_GBK" w:cs="方正小标宋_GBK"/>
          <w:color w:val="FF0000"/>
          <w:w w:val="66"/>
          <w:kern w:val="2"/>
          <w:sz w:val="84"/>
          <w:szCs w:val="84"/>
          <w:lang w:val="en-US" w:eastAsia="zh-CN" w:bidi="ar"/>
        </w:rPr>
        <w:t>浙江广播电视大学校长办公室文件</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color w:val="FF0000"/>
          <w:w w:val="66"/>
          <w:sz w:val="28"/>
          <w:szCs w:val="28"/>
          <w:lang w:val="en-US"/>
        </w:rPr>
      </w:pPr>
    </w:p>
    <w:p>
      <w:pPr>
        <w:keepNext w:val="0"/>
        <w:keepLines w:val="0"/>
        <w:widowControl w:val="0"/>
        <w:suppressLineNumbers w:val="0"/>
        <w:spacing w:before="0" w:beforeAutospacing="0" w:after="0" w:afterAutospacing="0"/>
        <w:ind w:left="0" w:right="0"/>
        <w:jc w:val="center"/>
        <w:rPr>
          <w:rFonts w:hint="eastAsia" w:ascii="仿宋_GB2312" w:hAnsi="华文中宋" w:eastAsia="仿宋_GB2312" w:cs="仿宋_GB2312"/>
          <w:sz w:val="32"/>
          <w:szCs w:val="32"/>
          <w:lang w:val="en-US"/>
        </w:rPr>
      </w:pPr>
      <w:r>
        <w:rPr>
          <w:rFonts w:hint="eastAsia" w:ascii="仿宋_GB2312" w:hAnsi="华文中宋" w:eastAsia="仿宋_GB2312" w:cs="仿宋_GB2312"/>
          <w:kern w:val="2"/>
          <w:sz w:val="32"/>
          <w:szCs w:val="32"/>
          <w:lang w:val="en-US" w:eastAsia="zh-CN" w:bidi="ar"/>
        </w:rPr>
        <w:t xml:space="preserve"> </w:t>
      </w:r>
      <w:bookmarkStart w:id="1" w:name="_GoBack"/>
      <w:bookmarkStart w:id="0" w:name="文号"/>
      <w:r>
        <w:rPr>
          <w:rFonts w:hint="eastAsia" w:ascii="仿宋_GB2312" w:hAnsi="华文中宋" w:eastAsia="仿宋_GB2312" w:cs="仿宋_GB2312"/>
          <w:kern w:val="2"/>
          <w:sz w:val="32"/>
          <w:szCs w:val="32"/>
          <w:lang w:val="en-US" w:eastAsia="zh-CN" w:bidi="ar"/>
        </w:rPr>
        <w:t>浙电大办〔2017〕3号</w:t>
      </w:r>
      <w:bookmarkEnd w:id="0"/>
    </w:p>
    <w:bookmarkEnd w:id="1"/>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color w:val="FF0000"/>
          <w:w w:val="66"/>
          <w:sz w:val="30"/>
          <w:szCs w:val="30"/>
          <w:lang w:val="en-US"/>
        </w:rPr>
      </w:pPr>
      <w:r>
        <w:rPr>
          <w:rFonts w:hint="default" w:ascii="Times New Roman" w:hAnsi="Times New Roman" w:eastAsia="宋体" w:cs="Times New Roman"/>
          <w:kern w:val="2"/>
          <w:sz w:val="21"/>
          <w:szCs w:val="24"/>
          <w:lang w:val="en-US" w:eastAsia="zh-CN" w:bidi="ar"/>
        </w:rPr>
        <mc:AlternateContent>
          <mc:Choice Requires="wps">
            <w:drawing>
              <wp:anchor distT="0" distB="0" distL="114300" distR="114300" simplePos="0" relativeHeight="249561088" behindDoc="0" locked="0" layoutInCell="1" allowOverlap="1">
                <wp:simplePos x="0" y="0"/>
                <wp:positionH relativeFrom="column">
                  <wp:posOffset>8890</wp:posOffset>
                </wp:positionH>
                <wp:positionV relativeFrom="paragraph">
                  <wp:posOffset>99695</wp:posOffset>
                </wp:positionV>
                <wp:extent cx="5723890" cy="0"/>
                <wp:effectExtent l="0" t="0" r="0" b="0"/>
                <wp:wrapNone/>
                <wp:docPr id="1" name="直线 2"/>
                <wp:cNvGraphicFramePr/>
                <a:graphic xmlns:a="http://schemas.openxmlformats.org/drawingml/2006/main">
                  <a:graphicData uri="http://schemas.microsoft.com/office/word/2010/wordprocessingShape">
                    <wps:wsp>
                      <wps:cNvSpPr/>
                      <wps:spPr>
                        <a:xfrm>
                          <a:off x="0" y="0"/>
                          <a:ext cx="5723890"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0.7pt;margin-top:7.85pt;height:0pt;width:450.7pt;z-index:249561088;mso-width-relative:page;mso-height-relative:page;" stroked="t" coordsize="21600,21600" o:gfxdata="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uhgdrWAAAABwEAAA8AAAAAAAAAAQAgAAAAIgAAAGRy&#10;cy9kb3ducmV2LnhtbFBLAQIUABQAAAAIAIdO4kCqzccUzgEAAI4DAAAOAAAAAAAAAAEAIAAAACUB&#10;AABkcnMvZTJvRG9jLnhtbFBLBQYAAAAABgAGAFkBAABlBQAAAAA=&#10;">
                <v:path arrowok="t"/>
                <v:fill focussize="0,0"/>
                <v:stroke weight="1.5pt" color="#FF0000"/>
                <v:imagedata o:title=""/>
                <o:lock v:ext="edit"/>
              </v:line>
            </w:pict>
          </mc:Fallback>
        </mc:AlternateContent>
      </w:r>
    </w:p>
    <w:p>
      <w:pPr>
        <w:keepNext w:val="0"/>
        <w:keepLines w:val="0"/>
        <w:widowControl w:val="0"/>
        <w:suppressLineNumbers w:val="0"/>
        <w:adjustRightInd w:val="0"/>
        <w:snapToGrid w:val="0"/>
        <w:spacing w:before="0" w:beforeAutospacing="0" w:after="0" w:afterAutospacing="0" w:line="600" w:lineRule="atLeast"/>
        <w:ind w:left="0" w:right="0"/>
        <w:jc w:val="center"/>
        <w:rPr>
          <w:rFonts w:hint="eastAsia" w:ascii="方正小标宋_GBK" w:hAnsi="方正小标宋_GBK" w:eastAsia="方正小标宋_GBK" w:cs="方正小标宋_GBK"/>
          <w:sz w:val="44"/>
          <w:szCs w:val="44"/>
          <w:lang w:val="en-US"/>
        </w:rPr>
      </w:pPr>
      <w:r>
        <w:rPr>
          <w:rFonts w:hint="eastAsia" w:ascii="方正小标宋_GBK" w:hAnsi="方正小标宋_GBK" w:eastAsia="方正小标宋_GBK" w:cs="方正小标宋_GBK"/>
          <w:kern w:val="2"/>
          <w:sz w:val="44"/>
          <w:szCs w:val="44"/>
          <w:lang w:val="en-US" w:eastAsia="zh-CN" w:bidi="ar"/>
        </w:rPr>
        <w:t>关于印发2017级成人高等教育</w:t>
      </w:r>
    </w:p>
    <w:p>
      <w:pPr>
        <w:keepNext w:val="0"/>
        <w:keepLines w:val="0"/>
        <w:widowControl w:val="0"/>
        <w:suppressLineNumbers w:val="0"/>
        <w:adjustRightInd w:val="0"/>
        <w:snapToGrid w:val="0"/>
        <w:spacing w:before="0" w:beforeAutospacing="0" w:after="0" w:afterAutospacing="0" w:line="600" w:lineRule="atLeast"/>
        <w:ind w:left="0" w:right="0"/>
        <w:jc w:val="center"/>
        <w:rPr>
          <w:rFonts w:hint="eastAsia" w:ascii="方正小标宋_GBK" w:hAnsi="方正小标宋_GBK" w:eastAsia="方正小标宋_GBK" w:cs="方正小标宋_GBK"/>
          <w:sz w:val="44"/>
          <w:szCs w:val="44"/>
          <w:lang w:val="en-US"/>
        </w:rPr>
      </w:pPr>
      <w:r>
        <w:rPr>
          <w:rFonts w:hint="eastAsia" w:ascii="方正小标宋_GBK" w:hAnsi="方正小标宋_GBK" w:eastAsia="方正小标宋_GBK" w:cs="方正小标宋_GBK"/>
          <w:kern w:val="2"/>
          <w:sz w:val="44"/>
          <w:szCs w:val="44"/>
          <w:lang w:val="en-US" w:eastAsia="zh-CN" w:bidi="ar"/>
        </w:rPr>
        <w:t>专业培养方案的通知</w:t>
      </w:r>
    </w:p>
    <w:p>
      <w:pPr>
        <w:keepNext w:val="0"/>
        <w:keepLines w:val="0"/>
        <w:widowControl w:val="0"/>
        <w:suppressLineNumbers w:val="0"/>
        <w:adjustRightInd w:val="0"/>
        <w:snapToGrid w:val="0"/>
        <w:spacing w:before="312" w:beforeLines="100" w:beforeAutospacing="0" w:after="0" w:afterAutospacing="0" w:line="560" w:lineRule="exact"/>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各成人高等教育办学单位：</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kern w:val="0"/>
          <w:sz w:val="32"/>
          <w:szCs w:val="32"/>
          <w:lang w:val="en-US"/>
        </w:rPr>
      </w:pPr>
      <w:r>
        <w:rPr>
          <w:rFonts w:hint="eastAsia" w:ascii="仿宋_GB2312" w:hAnsi="Times New Roman" w:eastAsia="仿宋_GB2312" w:cs="仿宋_GB2312"/>
          <w:kern w:val="2"/>
          <w:sz w:val="32"/>
          <w:szCs w:val="32"/>
          <w:lang w:val="en-US" w:eastAsia="zh-CN" w:bidi="ar"/>
        </w:rPr>
        <w:t>现将《浙江广播电视大学2017级成人高等教育专业培养方案》印发给你们，并</w:t>
      </w:r>
      <w:r>
        <w:rPr>
          <w:rFonts w:hint="eastAsia" w:ascii="仿宋_GB2312" w:hAnsi="宋体" w:eastAsia="仿宋_GB2312" w:cs="仿宋_GB2312"/>
          <w:kern w:val="0"/>
          <w:sz w:val="32"/>
          <w:szCs w:val="32"/>
          <w:lang w:val="en-US" w:eastAsia="zh-CN" w:bidi="ar"/>
        </w:rPr>
        <w:t>就有关问题说明如下，请遵照执行。</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0"/>
        <w:rPr>
          <w:rFonts w:hint="eastAsia" w:ascii="黑体" w:hAnsi="Times New Roman" w:eastAsia="黑体" w:cs="黑体"/>
          <w:sz w:val="32"/>
          <w:szCs w:val="32"/>
          <w:lang w:val="en-US"/>
        </w:rPr>
      </w:pPr>
      <w:r>
        <w:rPr>
          <w:rFonts w:hint="eastAsia" w:ascii="黑体" w:hAnsi="宋体" w:eastAsia="黑体" w:cs="黑体"/>
          <w:kern w:val="2"/>
          <w:sz w:val="32"/>
          <w:szCs w:val="32"/>
          <w:lang w:val="en-US" w:eastAsia="zh-CN" w:bidi="ar"/>
        </w:rPr>
        <w:t>一、专业设置</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2017级成人高等教育开设21个专业（详见附件1），其中本科开设1个专业，专科开设8大类14个类别20个专业。</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0" w:firstLineChars="200"/>
        <w:jc w:val="both"/>
        <w:outlineLvl w:val="0"/>
        <w:rPr>
          <w:rFonts w:hint="eastAsia" w:ascii="黑体" w:hAnsi="Times New Roman" w:eastAsia="黑体" w:cs="黑体"/>
          <w:sz w:val="32"/>
          <w:szCs w:val="32"/>
          <w:lang w:val="en-US"/>
        </w:rPr>
      </w:pPr>
      <w:r>
        <w:rPr>
          <w:rFonts w:hint="eastAsia" w:ascii="黑体" w:hAnsi="宋体" w:eastAsia="黑体" w:cs="黑体"/>
          <w:kern w:val="2"/>
          <w:sz w:val="32"/>
          <w:szCs w:val="32"/>
          <w:lang w:val="en-US" w:eastAsia="zh-CN" w:bidi="ar"/>
        </w:rPr>
        <w:t>二、课程及模块设置</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成人高等教育</w:t>
      </w:r>
      <w:r>
        <w:rPr>
          <w:rFonts w:hint="eastAsia" w:ascii="仿宋_GB2312" w:hAnsi="宋体" w:eastAsia="仿宋_GB2312" w:cs="仿宋_GB2312"/>
          <w:kern w:val="2"/>
          <w:sz w:val="32"/>
          <w:szCs w:val="32"/>
          <w:lang w:val="en-US" w:eastAsia="zh-CN" w:bidi="ar"/>
        </w:rPr>
        <w:t>各专业培养方案按模块化设置课程。</w:t>
      </w:r>
      <w:r>
        <w:rPr>
          <w:rFonts w:hint="eastAsia" w:ascii="仿宋_GB2312" w:hAnsi="Times New Roman" w:eastAsia="仿宋_GB2312" w:cs="仿宋_GB2312"/>
          <w:kern w:val="2"/>
          <w:sz w:val="32"/>
          <w:szCs w:val="32"/>
          <w:lang w:val="en-US" w:eastAsia="zh-CN" w:bidi="ar"/>
        </w:rPr>
        <w:t>成人高等本科教育</w:t>
      </w:r>
      <w:r>
        <w:rPr>
          <w:rFonts w:hint="eastAsia" w:ascii="仿宋_GB2312" w:hAnsi="宋体" w:eastAsia="仿宋_GB2312" w:cs="仿宋_GB2312"/>
          <w:kern w:val="2"/>
          <w:sz w:val="32"/>
          <w:szCs w:val="32"/>
          <w:lang w:val="en-US" w:eastAsia="zh-CN" w:bidi="ar"/>
        </w:rPr>
        <w:t>每个专业统一设置公共基础课、职业基础课、职业技能课、职业延展课、自开课程和综合实践等模块。</w:t>
      </w:r>
      <w:r>
        <w:rPr>
          <w:rFonts w:hint="eastAsia" w:ascii="仿宋_GB2312" w:hAnsi="Times New Roman" w:eastAsia="仿宋_GB2312" w:cs="仿宋_GB2312"/>
          <w:kern w:val="2"/>
          <w:sz w:val="32"/>
          <w:szCs w:val="32"/>
          <w:lang w:val="en-US" w:eastAsia="zh-CN" w:bidi="ar"/>
        </w:rPr>
        <w:t>成人高等专科教育</w:t>
      </w:r>
      <w:r>
        <w:rPr>
          <w:rFonts w:hint="eastAsia" w:ascii="仿宋_GB2312" w:hAnsi="宋体" w:eastAsia="仿宋_GB2312" w:cs="仿宋_GB2312"/>
          <w:kern w:val="2"/>
          <w:sz w:val="32"/>
          <w:szCs w:val="32"/>
          <w:lang w:val="en-US" w:eastAsia="zh-CN" w:bidi="ar"/>
        </w:rPr>
        <w:t>每个专业统一设置公共基础课、职业基础课、职业技能课、职业延展课、综合实践等模块。学生按培养方案要求修满各模块最低毕业学分且所修总学分达到毕业学分要求，则表明学生已满足了毕业学分要求。各模块课程分为以下种类：</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3" w:firstLineChars="200"/>
        <w:jc w:val="both"/>
        <w:rPr>
          <w:rFonts w:hint="eastAsia" w:ascii="仿宋_GB2312" w:hAnsi="宋体" w:eastAsia="仿宋_GB2312" w:cs="仿宋_GB2312"/>
          <w:sz w:val="32"/>
          <w:szCs w:val="32"/>
          <w:lang w:val="en-US"/>
        </w:rPr>
      </w:pPr>
      <w:r>
        <w:rPr>
          <w:rFonts w:hint="eastAsia" w:ascii="仿宋_GB2312" w:hAnsi="宋体" w:eastAsia="仿宋_GB2312" w:cs="仿宋_GB2312"/>
          <w:b/>
          <w:bCs w:val="0"/>
          <w:kern w:val="2"/>
          <w:sz w:val="32"/>
          <w:szCs w:val="32"/>
          <w:lang w:val="en-US" w:eastAsia="zh-CN" w:bidi="ar"/>
        </w:rPr>
        <w:t>（一）必修课：</w:t>
      </w:r>
      <w:r>
        <w:rPr>
          <w:rFonts w:hint="eastAsia" w:ascii="仿宋_GB2312" w:hAnsi="宋体" w:eastAsia="仿宋_GB2312" w:cs="仿宋_GB2312"/>
          <w:kern w:val="2"/>
          <w:sz w:val="32"/>
          <w:szCs w:val="32"/>
          <w:lang w:val="en-US" w:eastAsia="zh-CN" w:bidi="ar"/>
        </w:rPr>
        <w:t>每个学生必须修完的专业培养方案中规定的必修课程，必修课不及格者不能毕业。</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jc w:val="both"/>
        <w:rPr>
          <w:rFonts w:hint="eastAsia" w:ascii="仿宋_GB2312" w:hAnsi="宋体" w:eastAsia="仿宋_GB2312" w:cs="仿宋_GB2312"/>
          <w:sz w:val="32"/>
          <w:szCs w:val="32"/>
          <w:lang w:val="en-US"/>
        </w:rPr>
      </w:pPr>
      <w:r>
        <w:rPr>
          <w:rFonts w:hint="eastAsia" w:ascii="仿宋_GB2312" w:hAnsi="宋体" w:eastAsia="仿宋_GB2312" w:cs="仿宋_GB2312"/>
          <w:kern w:val="2"/>
          <w:sz w:val="32"/>
          <w:szCs w:val="32"/>
          <w:lang w:val="en-US" w:eastAsia="zh-CN" w:bidi="ar"/>
        </w:rPr>
        <w:t xml:space="preserve">    </w:t>
      </w:r>
      <w:r>
        <w:rPr>
          <w:rFonts w:hint="eastAsia" w:ascii="仿宋_GB2312" w:hAnsi="宋体" w:eastAsia="仿宋_GB2312" w:cs="仿宋_GB2312"/>
          <w:b/>
          <w:bCs w:val="0"/>
          <w:kern w:val="2"/>
          <w:sz w:val="32"/>
          <w:szCs w:val="32"/>
          <w:lang w:val="en-US" w:eastAsia="zh-CN" w:bidi="ar"/>
        </w:rPr>
        <w:t>（二）选修课：</w:t>
      </w:r>
      <w:r>
        <w:rPr>
          <w:rFonts w:hint="eastAsia" w:ascii="仿宋_GB2312" w:hAnsi="宋体" w:eastAsia="仿宋_GB2312" w:cs="仿宋_GB2312"/>
          <w:kern w:val="2"/>
          <w:sz w:val="32"/>
          <w:szCs w:val="32"/>
          <w:lang w:val="en-US" w:eastAsia="zh-CN" w:bidi="ar"/>
        </w:rPr>
        <w:t>学生必须修满规定的选修课学分。选修课应在本专业的专业培养方案进程表中所列的选修课范围内选修，原则上以教学班为单位进行选修，学生也可以在规定的范围内自选选修课，但须经所在教学班和办学单位同意。</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jc w:val="both"/>
        <w:rPr>
          <w:rFonts w:hint="eastAsia" w:ascii="仿宋_GB2312" w:hAnsi="宋体" w:eastAsia="仿宋_GB2312" w:cs="仿宋_GB2312"/>
          <w:sz w:val="32"/>
          <w:szCs w:val="32"/>
          <w:lang w:val="en-US"/>
        </w:rPr>
      </w:pPr>
      <w:r>
        <w:rPr>
          <w:rFonts w:hint="eastAsia" w:ascii="仿宋_GB2312" w:hAnsi="宋体" w:eastAsia="仿宋_GB2312" w:cs="仿宋_GB2312"/>
          <w:kern w:val="2"/>
          <w:sz w:val="32"/>
          <w:szCs w:val="32"/>
          <w:lang w:val="en-US" w:eastAsia="zh-CN" w:bidi="ar"/>
        </w:rPr>
        <w:t xml:space="preserve">    </w:t>
      </w:r>
      <w:r>
        <w:rPr>
          <w:rFonts w:hint="eastAsia" w:ascii="仿宋_GB2312" w:hAnsi="宋体" w:eastAsia="仿宋_GB2312" w:cs="仿宋_GB2312"/>
          <w:b/>
          <w:bCs w:val="0"/>
          <w:kern w:val="2"/>
          <w:sz w:val="32"/>
          <w:szCs w:val="32"/>
          <w:lang w:val="en-US" w:eastAsia="zh-CN" w:bidi="ar"/>
        </w:rPr>
        <w:t>（三）统考课：</w:t>
      </w:r>
      <w:r>
        <w:rPr>
          <w:rFonts w:hint="eastAsia" w:ascii="仿宋_GB2312" w:hAnsi="宋体" w:eastAsia="仿宋_GB2312" w:cs="仿宋_GB2312"/>
          <w:kern w:val="2"/>
          <w:sz w:val="32"/>
          <w:szCs w:val="32"/>
          <w:lang w:val="en-US" w:eastAsia="zh-CN" w:bidi="ar"/>
        </w:rPr>
        <w:t>每个专业中需参加浙江广播电视大学统一考核的课程,参见附件2、3。</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jc w:val="both"/>
        <w:rPr>
          <w:rFonts w:hint="eastAsia" w:ascii="仿宋_GB2312" w:hAnsi="宋体" w:eastAsia="仿宋_GB2312" w:cs="仿宋_GB2312"/>
          <w:sz w:val="32"/>
          <w:szCs w:val="32"/>
          <w:lang w:val="en-US"/>
        </w:rPr>
      </w:pPr>
      <w:r>
        <w:rPr>
          <w:rFonts w:hint="eastAsia" w:ascii="仿宋_GB2312" w:hAnsi="宋体" w:eastAsia="仿宋_GB2312" w:cs="仿宋_GB2312"/>
          <w:kern w:val="2"/>
          <w:sz w:val="32"/>
          <w:szCs w:val="32"/>
          <w:lang w:val="en-US" w:eastAsia="zh-CN" w:bidi="ar"/>
        </w:rPr>
        <w:t xml:space="preserve">    </w:t>
      </w:r>
      <w:r>
        <w:rPr>
          <w:rFonts w:hint="eastAsia" w:ascii="仿宋_GB2312" w:hAnsi="宋体" w:eastAsia="仿宋_GB2312" w:cs="仿宋_GB2312"/>
          <w:b/>
          <w:bCs w:val="0"/>
          <w:kern w:val="2"/>
          <w:sz w:val="32"/>
          <w:szCs w:val="32"/>
          <w:lang w:val="en-US" w:eastAsia="zh-CN" w:bidi="ar"/>
        </w:rPr>
        <w:t>（四）学位课：</w:t>
      </w:r>
      <w:r>
        <w:rPr>
          <w:rFonts w:hint="eastAsia" w:ascii="仿宋_GB2312" w:hAnsi="宋体" w:eastAsia="仿宋_GB2312" w:cs="仿宋_GB2312"/>
          <w:kern w:val="2"/>
          <w:sz w:val="32"/>
          <w:szCs w:val="32"/>
          <w:lang w:val="en-US" w:eastAsia="zh-CN" w:bidi="ar"/>
        </w:rPr>
        <w:t>为了获取学位，学生必须通过的课程。学位课程为统考课程，具体学位课程参见附件2。</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3" w:firstLineChars="200"/>
        <w:jc w:val="both"/>
        <w:rPr>
          <w:rFonts w:hint="eastAsia" w:ascii="仿宋_GB2312" w:hAnsi="宋体" w:eastAsia="仿宋_GB2312" w:cs="仿宋_GB2312"/>
          <w:sz w:val="32"/>
          <w:szCs w:val="32"/>
          <w:lang w:val="en-US"/>
        </w:rPr>
      </w:pPr>
      <w:r>
        <w:rPr>
          <w:rFonts w:hint="eastAsia" w:ascii="仿宋_GB2312" w:hAnsi="宋体" w:eastAsia="仿宋_GB2312" w:cs="仿宋_GB2312"/>
          <w:b/>
          <w:bCs w:val="0"/>
          <w:kern w:val="2"/>
          <w:sz w:val="32"/>
          <w:szCs w:val="32"/>
          <w:lang w:val="en-US" w:eastAsia="zh-CN" w:bidi="ar"/>
        </w:rPr>
        <w:t>（五）课程的教学环节：</w:t>
      </w:r>
      <w:r>
        <w:rPr>
          <w:rFonts w:hint="eastAsia" w:ascii="仿宋_GB2312" w:hAnsi="宋体" w:eastAsia="仿宋_GB2312" w:cs="仿宋_GB2312"/>
          <w:kern w:val="2"/>
          <w:sz w:val="32"/>
          <w:szCs w:val="32"/>
          <w:lang w:val="en-US" w:eastAsia="zh-CN" w:bidi="ar"/>
        </w:rPr>
        <w:t>一般包括授课、实验、实习、社会调查、项目实训、考核等。各环节具体课时参见各课程实施细则。</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3" w:firstLineChars="200"/>
        <w:jc w:val="both"/>
        <w:rPr>
          <w:rFonts w:hint="eastAsia" w:ascii="仿宋_GB2312" w:hAnsi="宋体" w:eastAsia="仿宋_GB2312" w:cs="仿宋_GB2312"/>
          <w:sz w:val="32"/>
          <w:szCs w:val="32"/>
          <w:lang w:val="en-US"/>
        </w:rPr>
      </w:pPr>
      <w:r>
        <w:rPr>
          <w:rFonts w:hint="eastAsia" w:ascii="仿宋_GB2312" w:hAnsi="宋体" w:eastAsia="仿宋_GB2312" w:cs="仿宋_GB2312"/>
          <w:b/>
          <w:bCs w:val="0"/>
          <w:kern w:val="2"/>
          <w:sz w:val="32"/>
          <w:szCs w:val="32"/>
          <w:lang w:val="en-US" w:eastAsia="zh-CN" w:bidi="ar"/>
        </w:rPr>
        <w:t>（六）思政课：</w:t>
      </w:r>
      <w:r>
        <w:rPr>
          <w:rFonts w:hint="eastAsia" w:ascii="仿宋_GB2312" w:hAnsi="宋体" w:eastAsia="仿宋_GB2312" w:cs="仿宋_GB2312"/>
          <w:kern w:val="2"/>
          <w:sz w:val="32"/>
          <w:szCs w:val="32"/>
          <w:lang w:val="en-US" w:eastAsia="zh-CN" w:bidi="ar"/>
        </w:rPr>
        <w:t>为加强政治理论教育，专科各专业开设《思想道德修养与法律基础</w:t>
      </w:r>
      <w:r>
        <w:rPr>
          <w:rFonts w:hint="eastAsia" w:ascii="仿宋_GB2312" w:hAnsi="宋体" w:eastAsia="仿宋_GB2312" w:cs="仿宋_GB2312"/>
          <w:kern w:val="0"/>
          <w:sz w:val="32"/>
          <w:szCs w:val="32"/>
          <w:lang w:val="en-US" w:eastAsia="zh-CN" w:bidi="ar"/>
        </w:rPr>
        <w:t>(1)</w:t>
      </w:r>
      <w:r>
        <w:rPr>
          <w:rFonts w:hint="eastAsia" w:ascii="仿宋_GB2312" w:hAnsi="宋体" w:eastAsia="仿宋_GB2312" w:cs="仿宋_GB2312"/>
          <w:kern w:val="2"/>
          <w:sz w:val="32"/>
          <w:szCs w:val="32"/>
          <w:lang w:val="en-US" w:eastAsia="zh-CN" w:bidi="ar"/>
        </w:rPr>
        <w:t>》、《毛泽东思想和中国特色社会主义理论体系概论</w:t>
      </w:r>
      <w:r>
        <w:rPr>
          <w:rFonts w:hint="eastAsia" w:ascii="仿宋_GB2312" w:hAnsi="宋体" w:eastAsia="仿宋_GB2312" w:cs="仿宋_GB2312"/>
          <w:kern w:val="0"/>
          <w:sz w:val="32"/>
          <w:szCs w:val="32"/>
          <w:lang w:val="en-US" w:eastAsia="zh-CN" w:bidi="ar"/>
        </w:rPr>
        <w:t>(1)</w:t>
      </w:r>
      <w:r>
        <w:rPr>
          <w:rFonts w:hint="eastAsia" w:ascii="仿宋_GB2312" w:hAnsi="宋体" w:eastAsia="仿宋_GB2312" w:cs="仿宋_GB2312"/>
          <w:kern w:val="2"/>
          <w:sz w:val="32"/>
          <w:szCs w:val="32"/>
          <w:lang w:val="en-US" w:eastAsia="zh-CN" w:bidi="ar"/>
        </w:rPr>
        <w:t>》、《形势与政策</w:t>
      </w:r>
      <w:r>
        <w:rPr>
          <w:rFonts w:hint="eastAsia" w:ascii="仿宋_GB2312" w:hAnsi="宋体" w:eastAsia="仿宋_GB2312" w:cs="仿宋_GB2312"/>
          <w:kern w:val="0"/>
          <w:sz w:val="32"/>
          <w:szCs w:val="32"/>
          <w:lang w:val="en-US" w:eastAsia="zh-CN" w:bidi="ar"/>
        </w:rPr>
        <w:t>(1)》；本科各专业开设《马克思主义基本原理》、《中国近现代史纲要》、《毛泽东思想和中国特色社会主义理论体系概论(2)》、《思想道德修养与法律基础(2)》、《形势与政策(2)》</w:t>
      </w:r>
      <w:r>
        <w:rPr>
          <w:rFonts w:hint="eastAsia" w:ascii="仿宋_GB2312" w:hAnsi="宋体" w:eastAsia="仿宋_GB2312" w:cs="仿宋_GB2312"/>
          <w:kern w:val="2"/>
          <w:sz w:val="32"/>
          <w:szCs w:val="32"/>
          <w:lang w:val="en-US" w:eastAsia="zh-CN" w:bidi="ar"/>
        </w:rPr>
        <w:t>。</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3" w:firstLineChars="200"/>
        <w:jc w:val="both"/>
        <w:rPr>
          <w:rFonts w:hint="eastAsia" w:ascii="仿宋_GB2312" w:eastAsia="仿宋_GB2312" w:cs="仿宋_GB2312"/>
          <w:sz w:val="32"/>
          <w:szCs w:val="32"/>
          <w:lang w:val="en-US"/>
        </w:rPr>
      </w:pPr>
      <w:r>
        <w:rPr>
          <w:rFonts w:hint="eastAsia" w:ascii="仿宋_GB2312" w:hAnsi="宋体" w:eastAsia="仿宋_GB2312" w:cs="仿宋_GB2312"/>
          <w:b/>
          <w:bCs w:val="0"/>
          <w:kern w:val="2"/>
          <w:sz w:val="32"/>
          <w:szCs w:val="32"/>
          <w:lang w:val="en-US" w:eastAsia="zh-CN" w:bidi="ar"/>
        </w:rPr>
        <w:t>（七）证书课程：</w:t>
      </w:r>
      <w:r>
        <w:rPr>
          <w:rFonts w:hint="eastAsia" w:ascii="仿宋_GB2312" w:hAnsi="Times New Roman" w:eastAsia="仿宋_GB2312" w:cs="仿宋_GB2312"/>
          <w:kern w:val="2"/>
          <w:sz w:val="32"/>
          <w:szCs w:val="32"/>
          <w:lang w:val="en-US" w:eastAsia="zh-CN" w:bidi="ar"/>
        </w:rPr>
        <w:t>为加强学历教育与职业资格证书、专业技术等级证书教育的互通,在各专业职业技能课模块中设置“职业证书课程⑴⑵”（共6学分）和“专业证书课程”（3学分），学生可凭相关证书顶替专业培养方案中特定的课程（详见各专业培养方案文字说明部分）。</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3" w:firstLineChars="200"/>
        <w:jc w:val="both"/>
        <w:rPr>
          <w:rFonts w:hint="eastAsia" w:ascii="仿宋_GB2312" w:hAnsi="宋体" w:eastAsia="仿宋_GB2312" w:cs="仿宋_GB2312"/>
          <w:sz w:val="32"/>
          <w:szCs w:val="32"/>
          <w:lang w:val="en-US"/>
        </w:rPr>
      </w:pPr>
      <w:r>
        <w:rPr>
          <w:rFonts w:hint="eastAsia" w:ascii="仿宋_GB2312" w:hAnsi="宋体" w:eastAsia="仿宋_GB2312" w:cs="仿宋_GB2312"/>
          <w:b/>
          <w:bCs w:val="0"/>
          <w:kern w:val="2"/>
          <w:sz w:val="32"/>
          <w:szCs w:val="32"/>
          <w:lang w:val="en-US" w:eastAsia="zh-CN" w:bidi="ar"/>
        </w:rPr>
        <w:t>（八）体育课：</w:t>
      </w:r>
      <w:r>
        <w:rPr>
          <w:rFonts w:hint="eastAsia" w:ascii="仿宋_GB2312" w:hAnsi="宋体" w:eastAsia="仿宋_GB2312" w:cs="仿宋_GB2312"/>
          <w:kern w:val="2"/>
          <w:sz w:val="32"/>
          <w:szCs w:val="32"/>
          <w:lang w:val="en-US" w:eastAsia="zh-CN" w:bidi="ar"/>
        </w:rPr>
        <w:t>本科成人脱产学生体育课分3个学期开设，每学期2学分；专科成人脱产学生体育课分4个学期开设，每学期1学分。</w:t>
      </w:r>
    </w:p>
    <w:p>
      <w:pPr>
        <w:keepNext w:val="0"/>
        <w:keepLines w:val="0"/>
        <w:widowControl w:val="0"/>
        <w:suppressLineNumbers w:val="0"/>
        <w:adjustRightInd w:val="0"/>
        <w:snapToGrid w:val="0"/>
        <w:spacing w:before="0" w:beforeAutospacing="0" w:after="0" w:afterAutospacing="0" w:line="560" w:lineRule="exact"/>
        <w:ind w:left="0" w:right="0" w:firstLine="643" w:firstLineChars="200"/>
        <w:jc w:val="both"/>
        <w:rPr>
          <w:rFonts w:hint="eastAsia" w:ascii="仿宋_GB2312" w:hAnsi="宋体" w:eastAsia="仿宋_GB2312" w:cs="仿宋_GB2312"/>
          <w:sz w:val="32"/>
          <w:szCs w:val="32"/>
          <w:lang w:val="en-US"/>
        </w:rPr>
      </w:pPr>
      <w:r>
        <w:rPr>
          <w:rFonts w:hint="eastAsia" w:ascii="仿宋_GB2312" w:hAnsi="宋体" w:eastAsia="仿宋_GB2312" w:cs="仿宋_GB2312"/>
          <w:b/>
          <w:bCs w:val="0"/>
          <w:kern w:val="2"/>
          <w:sz w:val="32"/>
          <w:szCs w:val="32"/>
          <w:lang w:val="en-US" w:eastAsia="zh-CN" w:bidi="ar"/>
        </w:rPr>
        <w:t>（九）军事技能训练：</w:t>
      </w:r>
      <w:r>
        <w:rPr>
          <w:rFonts w:hint="eastAsia" w:ascii="仿宋_GB2312" w:hAnsi="宋体" w:eastAsia="仿宋_GB2312" w:cs="仿宋_GB2312"/>
          <w:kern w:val="2"/>
          <w:sz w:val="32"/>
          <w:szCs w:val="32"/>
          <w:lang w:val="en-US" w:eastAsia="zh-CN" w:bidi="ar"/>
        </w:rPr>
        <w:t>为成人脱产学生实践环节，军事理论教学时间为18学时，军事技能训练时间为2周，总学分为3学分。军事理论教学可以与军事技能训练同时进行。军事理论教学形式可灵活机动，具体参照《普通高等学校军事课教学大纲》（教体艺〔2002〕7号）、《学生军事训练工作规定》（浙教体〔2007〕72号）执行。</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3" w:firstLineChars="200"/>
        <w:jc w:val="both"/>
        <w:rPr>
          <w:rFonts w:hint="eastAsia" w:ascii="仿宋_GB2312" w:hAnsi="宋体" w:eastAsia="仿宋_GB2312" w:cs="仿宋_GB2312"/>
          <w:sz w:val="32"/>
          <w:szCs w:val="32"/>
          <w:lang w:val="en-US"/>
        </w:rPr>
      </w:pPr>
      <w:r>
        <w:rPr>
          <w:rFonts w:hint="eastAsia" w:ascii="仿宋_GB2312" w:hAnsi="宋体" w:eastAsia="仿宋_GB2312" w:cs="仿宋_GB2312"/>
          <w:b/>
          <w:bCs w:val="0"/>
          <w:kern w:val="2"/>
          <w:sz w:val="32"/>
          <w:szCs w:val="32"/>
          <w:lang w:val="en-US" w:eastAsia="zh-CN" w:bidi="ar"/>
        </w:rPr>
        <w:t>（十）学时计算：</w:t>
      </w:r>
      <w:r>
        <w:rPr>
          <w:rFonts w:hint="eastAsia" w:ascii="仿宋_GB2312" w:hAnsi="宋体" w:eastAsia="仿宋_GB2312" w:cs="仿宋_GB2312"/>
          <w:kern w:val="2"/>
          <w:sz w:val="32"/>
          <w:szCs w:val="32"/>
          <w:lang w:val="en-US" w:eastAsia="zh-CN" w:bidi="ar"/>
        </w:rPr>
        <w:t>课程的课内学时按课程学分乘以18计算。</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0" w:firstLineChars="200"/>
        <w:jc w:val="both"/>
        <w:outlineLvl w:val="0"/>
        <w:rPr>
          <w:rFonts w:hint="eastAsia" w:ascii="黑体" w:hAnsi="宋体" w:eastAsia="黑体" w:cs="黑体"/>
          <w:sz w:val="32"/>
          <w:szCs w:val="32"/>
          <w:lang w:val="en-US"/>
        </w:rPr>
      </w:pPr>
      <w:r>
        <w:rPr>
          <w:rFonts w:hint="eastAsia" w:ascii="黑体" w:hAnsi="宋体" w:eastAsia="黑体" w:cs="黑体"/>
          <w:kern w:val="2"/>
          <w:sz w:val="32"/>
          <w:szCs w:val="32"/>
          <w:lang w:val="en-US" w:eastAsia="zh-CN" w:bidi="ar"/>
        </w:rPr>
        <w:t>三、教学环节</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sz w:val="32"/>
          <w:szCs w:val="32"/>
          <w:lang w:val="en-US"/>
        </w:rPr>
      </w:pPr>
      <w:r>
        <w:rPr>
          <w:rFonts w:hint="eastAsia" w:ascii="仿宋_GB2312" w:hAnsi="宋体" w:eastAsia="仿宋_GB2312" w:cs="仿宋_GB2312"/>
          <w:kern w:val="2"/>
          <w:sz w:val="32"/>
          <w:szCs w:val="32"/>
          <w:lang w:val="en-US" w:eastAsia="zh-CN" w:bidi="ar"/>
        </w:rPr>
        <w:t>教学环节包括授课、实践性教学环节及考核等。</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3" w:firstLineChars="200"/>
        <w:jc w:val="both"/>
        <w:outlineLvl w:val="0"/>
        <w:rPr>
          <w:rFonts w:hint="eastAsia" w:ascii="仿宋_GB2312" w:hAnsi="宋体" w:eastAsia="仿宋_GB2312" w:cs="仿宋_GB2312"/>
          <w:sz w:val="32"/>
          <w:szCs w:val="32"/>
          <w:lang w:val="en-US"/>
        </w:rPr>
      </w:pPr>
      <w:r>
        <w:rPr>
          <w:rFonts w:hint="eastAsia" w:ascii="仿宋_GB2312" w:hAnsi="宋体" w:eastAsia="仿宋_GB2312" w:cs="仿宋_GB2312"/>
          <w:b/>
          <w:bCs w:val="0"/>
          <w:kern w:val="2"/>
          <w:sz w:val="32"/>
          <w:szCs w:val="32"/>
          <w:lang w:val="en-US" w:eastAsia="zh-CN" w:bidi="ar"/>
        </w:rPr>
        <w:t>（一）授课：</w:t>
      </w:r>
      <w:r>
        <w:rPr>
          <w:rFonts w:hint="eastAsia" w:ascii="仿宋_GB2312" w:hAnsi="宋体" w:eastAsia="仿宋_GB2312" w:cs="仿宋_GB2312"/>
          <w:kern w:val="2"/>
          <w:sz w:val="32"/>
          <w:szCs w:val="32"/>
          <w:lang w:val="en-US" w:eastAsia="zh-CN" w:bidi="ar"/>
        </w:rPr>
        <w:t>面授教学为成人脱产学生学习理论知识的主要手段和方式，同时，提倡利用现代远程教育技术组织开展网上教学。各办学单位按计划保质保量完成教学任务。</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3" w:firstLineChars="200"/>
        <w:jc w:val="both"/>
        <w:outlineLvl w:val="0"/>
        <w:rPr>
          <w:rFonts w:hint="eastAsia" w:ascii="仿宋_GB2312" w:hAnsi="宋体" w:eastAsia="仿宋_GB2312" w:cs="仿宋_GB2312"/>
          <w:sz w:val="32"/>
          <w:szCs w:val="32"/>
          <w:lang w:val="en-US"/>
        </w:rPr>
      </w:pPr>
      <w:r>
        <w:rPr>
          <w:rFonts w:hint="eastAsia" w:ascii="仿宋_GB2312" w:hAnsi="宋体" w:eastAsia="仿宋_GB2312" w:cs="仿宋_GB2312"/>
          <w:b/>
          <w:bCs w:val="0"/>
          <w:kern w:val="2"/>
          <w:sz w:val="32"/>
          <w:szCs w:val="32"/>
          <w:lang w:val="en-US" w:eastAsia="zh-CN" w:bidi="ar"/>
        </w:rPr>
        <w:t>（二）实践性教学环节：</w:t>
      </w:r>
      <w:r>
        <w:rPr>
          <w:rFonts w:hint="eastAsia" w:ascii="仿宋_GB2312" w:hAnsi="宋体" w:eastAsia="仿宋_GB2312" w:cs="仿宋_GB2312"/>
          <w:kern w:val="2"/>
          <w:sz w:val="32"/>
          <w:szCs w:val="32"/>
          <w:lang w:val="en-US" w:eastAsia="zh-CN" w:bidi="ar"/>
        </w:rPr>
        <w:t>各专业实践性教学环节具体按各专业培养方案并参照《浙江广播电视大学开放教育实践环节教学工作管理办法》（浙电大〔2013〕32号）及相关文件精神执行。学生修满专业培养方案中课程总学分的80%后可提出申请参加毕业设计（毕业论文）的撰写。办学单位须妥善保存学生的实验、实习、社会调查、毕业设计等实践性教学环节的原始材料，省电大将定期或不定期进行检查。检查中发现无原始材料或原始材料不齐备者，取消该门课程的成绩。</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3" w:firstLineChars="200"/>
        <w:jc w:val="both"/>
        <w:outlineLvl w:val="0"/>
        <w:rPr>
          <w:rFonts w:hint="eastAsia" w:ascii="仿宋_GB2312" w:hAnsi="宋体" w:eastAsia="仿宋_GB2312" w:cs="仿宋_GB2312"/>
          <w:sz w:val="32"/>
          <w:szCs w:val="32"/>
          <w:lang w:val="en-US"/>
        </w:rPr>
      </w:pPr>
      <w:r>
        <w:rPr>
          <w:rFonts w:hint="eastAsia" w:ascii="仿宋_GB2312" w:hAnsi="宋体" w:eastAsia="仿宋_GB2312" w:cs="仿宋_GB2312"/>
          <w:b/>
          <w:bCs w:val="0"/>
          <w:kern w:val="2"/>
          <w:sz w:val="32"/>
          <w:szCs w:val="32"/>
          <w:lang w:val="en-US" w:eastAsia="zh-CN" w:bidi="ar"/>
        </w:rPr>
        <w:t>（三）考核：</w:t>
      </w:r>
      <w:r>
        <w:rPr>
          <w:rFonts w:hint="eastAsia" w:ascii="仿宋_GB2312" w:hAnsi="宋体" w:eastAsia="仿宋_GB2312" w:cs="仿宋_GB2312"/>
          <w:kern w:val="2"/>
          <w:sz w:val="32"/>
          <w:szCs w:val="32"/>
          <w:lang w:val="en-US" w:eastAsia="zh-CN" w:bidi="ar"/>
        </w:rPr>
        <w:t>为使</w:t>
      </w:r>
      <w:r>
        <w:rPr>
          <w:rFonts w:hint="eastAsia" w:ascii="仿宋_GB2312" w:hAnsi="Times New Roman" w:eastAsia="仿宋_GB2312" w:cs="仿宋_GB2312"/>
          <w:kern w:val="2"/>
          <w:sz w:val="32"/>
          <w:szCs w:val="32"/>
          <w:lang w:val="en-US" w:eastAsia="zh-CN" w:bidi="ar"/>
        </w:rPr>
        <w:t>成人高等本科教育</w:t>
      </w:r>
      <w:r>
        <w:rPr>
          <w:rFonts w:hint="eastAsia" w:ascii="仿宋_GB2312" w:hAnsi="宋体" w:eastAsia="仿宋_GB2312" w:cs="仿宋_GB2312"/>
          <w:kern w:val="2"/>
          <w:sz w:val="32"/>
          <w:szCs w:val="32"/>
          <w:lang w:val="en-US" w:eastAsia="zh-CN" w:bidi="ar"/>
        </w:rPr>
        <w:t>更好地适应社会需要，培养学生的实践能力、创新能力，须加强教学过程管理，注重学生学习过程评价，要求各办学单位在</w:t>
      </w:r>
      <w:r>
        <w:rPr>
          <w:rFonts w:hint="eastAsia" w:ascii="仿宋_GB2312" w:hAnsi="Times New Roman" w:eastAsia="仿宋_GB2312" w:cs="仿宋_GB2312"/>
          <w:kern w:val="2"/>
          <w:sz w:val="32"/>
          <w:szCs w:val="32"/>
          <w:lang w:val="en-US" w:eastAsia="zh-CN" w:bidi="ar"/>
        </w:rPr>
        <w:t>成人高等教育</w:t>
      </w:r>
      <w:r>
        <w:rPr>
          <w:rFonts w:hint="eastAsia" w:ascii="仿宋_GB2312" w:hAnsi="宋体" w:eastAsia="仿宋_GB2312" w:cs="仿宋_GB2312"/>
          <w:kern w:val="2"/>
          <w:sz w:val="32"/>
          <w:szCs w:val="32"/>
          <w:lang w:val="en-US" w:eastAsia="zh-CN" w:bidi="ar"/>
        </w:rPr>
        <w:t xml:space="preserve">中把形成性（过程）考核和终结性（期末）考核结合起来。本科统考课程的形成性考核比例由省电大统一确定为30%，专科统考课程的形成性考核比例见统考表，其他课程形考比例由各办学单位根据教学需求和实际情况确定。实施形成性考核的具体要求暂时参照《浙江广播电视大学关于普通专科教育、成人专科教育课程形成性考核的实施意见（试行）》（浙电大〔2005〕137号），其中因学生重修重考而进行二次成绩合成的操作问题，形成性考核成绩采用百分制记录。 </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0"/>
        <w:rPr>
          <w:rFonts w:hint="eastAsia" w:ascii="黑体" w:hAnsi="Times New Roman" w:eastAsia="黑体" w:cs="黑体"/>
          <w:sz w:val="32"/>
          <w:szCs w:val="32"/>
          <w:lang w:val="en-US"/>
        </w:rPr>
      </w:pPr>
      <w:r>
        <w:rPr>
          <w:rFonts w:hint="eastAsia" w:ascii="黑体" w:hAnsi="宋体" w:eastAsia="黑体" w:cs="黑体"/>
          <w:kern w:val="2"/>
          <w:sz w:val="32"/>
          <w:szCs w:val="32"/>
          <w:lang w:val="en-US" w:eastAsia="zh-CN" w:bidi="ar"/>
        </w:rPr>
        <w:t>四、学制及学分</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根据《2008年浙江省成人高校招生工作实施办法》（浙高招委〔2008〕6号）相关规定，浙江广播电视大学成人高等本科教育专业（专升本，脱产）执行两年制学制，毕业总学分为90分。成人高等专科教育专业（脱产）执行三年制学制，毕业总学分为120分，嘉兴电大、台州电大、杭州财校教学点、浙江电大临海学院特设专业（脱产）执行两年制学制，毕业总学分为85分。</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0"/>
        <w:rPr>
          <w:rFonts w:hint="eastAsia" w:ascii="黑体" w:hAnsi="Times New Roman" w:eastAsia="黑体" w:cs="黑体"/>
          <w:sz w:val="32"/>
          <w:szCs w:val="32"/>
          <w:lang w:val="en-US"/>
        </w:rPr>
      </w:pPr>
      <w:r>
        <w:rPr>
          <w:rFonts w:hint="eastAsia" w:ascii="黑体" w:hAnsi="宋体" w:eastAsia="黑体" w:cs="黑体"/>
          <w:kern w:val="2"/>
          <w:sz w:val="32"/>
          <w:szCs w:val="32"/>
          <w:lang w:val="en-US" w:eastAsia="zh-CN" w:bidi="ar"/>
        </w:rPr>
        <w:t>五、毕业</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sz w:val="32"/>
          <w:szCs w:val="32"/>
          <w:lang w:val="en-US"/>
        </w:rPr>
      </w:pPr>
      <w:r>
        <w:rPr>
          <w:rFonts w:hint="eastAsia" w:ascii="仿宋_GB2312" w:hAnsi="宋体" w:eastAsia="仿宋_GB2312" w:cs="仿宋_GB2312"/>
          <w:kern w:val="2"/>
          <w:sz w:val="32"/>
          <w:szCs w:val="32"/>
          <w:lang w:val="en-US" w:eastAsia="zh-CN" w:bidi="ar"/>
        </w:rPr>
        <w:t>各专业毕业总学分及各教学环节的学分分配，详见各专业培养方案进程表。学生按照专业培养方案修完规定课程并考试合格，完成各实践性教学环节，达到毕业总学分要求，思想品德经鉴定符合要求，可准予毕业。由浙江广播电视大学颁发相应的高等教育毕业证书，国家承认其学历。本科专业学生符合有关学位授予要求的学生，经申报通过后，可获得相应的学士学位。学位授予实施细则另行发文。</w:t>
      </w:r>
    </w:p>
    <w:p>
      <w:pPr>
        <w:pStyle w:val="2"/>
        <w:widowControl/>
        <w:snapToGrid w:val="0"/>
        <w:spacing w:line="560" w:lineRule="exact"/>
        <w:ind w:left="0" w:firstLine="0" w:firstLineChars="0"/>
        <w:jc w:val="both"/>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 </w:t>
      </w:r>
    </w:p>
    <w:p>
      <w:pPr>
        <w:pStyle w:val="2"/>
        <w:widowControl/>
        <w:snapToGrid w:val="0"/>
        <w:spacing w:line="560" w:lineRule="exact"/>
        <w:ind w:left="0" w:firstLine="0" w:firstLineChars="0"/>
        <w:jc w:val="both"/>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 </w:t>
      </w:r>
    </w:p>
    <w:p>
      <w:pPr>
        <w:pStyle w:val="2"/>
        <w:widowControl/>
        <w:snapToGrid w:val="0"/>
        <w:spacing w:line="560" w:lineRule="exact"/>
        <w:ind w:left="1918" w:leftChars="304" w:hanging="1280" w:hangingChars="400"/>
        <w:jc w:val="both"/>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附件：1.浙江广播电视大学2017级成人高等教育开设专业</w:t>
      </w:r>
    </w:p>
    <w:p>
      <w:pPr>
        <w:pStyle w:val="2"/>
        <w:widowControl/>
        <w:snapToGrid w:val="0"/>
        <w:spacing w:line="560" w:lineRule="exact"/>
        <w:ind w:left="0" w:firstLine="1920" w:firstLineChars="600"/>
        <w:jc w:val="both"/>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一览表</w:t>
      </w:r>
    </w:p>
    <w:p>
      <w:pPr>
        <w:pStyle w:val="2"/>
        <w:widowControl/>
        <w:snapToGrid w:val="0"/>
        <w:spacing w:line="560" w:lineRule="exact"/>
        <w:ind w:left="1638" w:firstLine="0" w:firstLineChars="0"/>
        <w:jc w:val="both"/>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2.浙江广播电视大学成人高等本科教育统考课程一</w:t>
      </w:r>
    </w:p>
    <w:p>
      <w:pPr>
        <w:pStyle w:val="2"/>
        <w:widowControl/>
        <w:snapToGrid w:val="0"/>
        <w:spacing w:line="560" w:lineRule="exact"/>
        <w:ind w:left="1638" w:leftChars="780" w:firstLine="320" w:firstLineChars="100"/>
        <w:jc w:val="both"/>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览表</w:t>
      </w:r>
    </w:p>
    <w:p>
      <w:pPr>
        <w:pStyle w:val="2"/>
        <w:widowControl/>
        <w:snapToGrid w:val="0"/>
        <w:spacing w:line="560" w:lineRule="exact"/>
        <w:ind w:left="1638" w:firstLine="0" w:firstLineChars="0"/>
        <w:jc w:val="both"/>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3.浙江广播电视大学成人高等专科教育统考课程一</w:t>
      </w:r>
    </w:p>
    <w:p>
      <w:pPr>
        <w:pStyle w:val="2"/>
        <w:widowControl/>
        <w:snapToGrid w:val="0"/>
        <w:spacing w:line="560" w:lineRule="exact"/>
        <w:ind w:left="1638" w:leftChars="780" w:firstLine="320" w:firstLineChars="100"/>
        <w:jc w:val="both"/>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览表</w:t>
      </w:r>
    </w:p>
    <w:p>
      <w:pPr>
        <w:pStyle w:val="2"/>
        <w:widowControl/>
        <w:snapToGrid w:val="0"/>
        <w:spacing w:line="560" w:lineRule="exact"/>
        <w:ind w:left="1478" w:leftChars="704" w:firstLine="160" w:firstLineChars="50"/>
        <w:jc w:val="both"/>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4.浙江广播电视大学2017级成人高等教育专业培养</w:t>
      </w:r>
    </w:p>
    <w:p>
      <w:pPr>
        <w:pStyle w:val="2"/>
        <w:widowControl/>
        <w:snapToGrid w:val="0"/>
        <w:spacing w:line="560" w:lineRule="exact"/>
        <w:ind w:left="1478" w:leftChars="704" w:firstLineChars="150"/>
        <w:jc w:val="both"/>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方案（另成册印发）</w:t>
      </w:r>
    </w:p>
    <w:p>
      <w:pPr>
        <w:pStyle w:val="2"/>
        <w:widowControl/>
        <w:snapToGrid w:val="0"/>
        <w:spacing w:line="560" w:lineRule="exact"/>
        <w:ind w:left="1916" w:leftChars="760" w:hanging="320" w:hangingChars="100"/>
        <w:jc w:val="both"/>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 </w:t>
      </w:r>
    </w:p>
    <w:p>
      <w:pPr>
        <w:keepNext w:val="0"/>
        <w:keepLines w:val="0"/>
        <w:widowControl w:val="0"/>
        <w:suppressLineNumbers w:val="0"/>
        <w:adjustRightInd w:val="0"/>
        <w:snapToGrid w:val="0"/>
        <w:spacing w:before="0" w:beforeAutospacing="0" w:after="0" w:afterAutospacing="0" w:line="560" w:lineRule="exact"/>
        <w:ind w:left="0" w:right="0" w:firstLine="3562" w:firstLineChars="1113"/>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浙江广播电视大学校长办公室</w:t>
      </w:r>
    </w:p>
    <w:p>
      <w:pPr>
        <w:keepNext w:val="0"/>
        <w:keepLines w:val="0"/>
        <w:widowControl w:val="0"/>
        <w:suppressLineNumbers w:val="0"/>
        <w:adjustRightInd w:val="0"/>
        <w:snapToGrid w:val="0"/>
        <w:spacing w:before="0" w:beforeAutospacing="0" w:after="0" w:afterAutospacing="0" w:line="560" w:lineRule="exact"/>
        <w:ind w:left="0" w:right="0" w:firstLine="4640" w:firstLineChars="145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2017年3月3日</w:t>
      </w: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方正黑体_GBK" w:hAnsi="方正黑体_GBK" w:eastAsia="方正黑体_GBK" w:cs="方正黑体_GBK"/>
          <w:sz w:val="32"/>
          <w:szCs w:val="32"/>
          <w:lang w:val="en-US"/>
        </w:rPr>
      </w:pPr>
      <w:r>
        <w:rPr>
          <w:rFonts w:hint="eastAsia" w:ascii="方正黑体_GBK" w:hAnsi="方正黑体_GBK" w:eastAsia="方正黑体_GBK" w:cs="方正黑体_GBK"/>
          <w:kern w:val="2"/>
          <w:sz w:val="32"/>
          <w:szCs w:val="32"/>
          <w:lang w:val="en-US" w:eastAsia="zh-CN" w:bidi="ar"/>
        </w:rPr>
        <w:t>附件1</w:t>
      </w:r>
    </w:p>
    <w:tbl>
      <w:tblPr>
        <w:tblStyle w:val="6"/>
        <w:tblW w:w="10483" w:type="dxa"/>
        <w:jc w:val="center"/>
        <w:tblInd w:w="0" w:type="dxa"/>
        <w:shd w:val="clear"/>
        <w:tblLayout w:type="fixed"/>
        <w:tblCellMar>
          <w:top w:w="0" w:type="dxa"/>
          <w:left w:w="108" w:type="dxa"/>
          <w:bottom w:w="0" w:type="dxa"/>
          <w:right w:w="108" w:type="dxa"/>
        </w:tblCellMar>
      </w:tblPr>
      <w:tblGrid>
        <w:gridCol w:w="739"/>
        <w:gridCol w:w="739"/>
        <w:gridCol w:w="2759"/>
        <w:gridCol w:w="1759"/>
        <w:gridCol w:w="2439"/>
        <w:gridCol w:w="2048"/>
      </w:tblGrid>
      <w:tr>
        <w:tblPrEx>
          <w:shd w:val="clear"/>
          <w:tblLayout w:type="fixed"/>
          <w:tblCellMar>
            <w:top w:w="0" w:type="dxa"/>
            <w:left w:w="108" w:type="dxa"/>
            <w:bottom w:w="0" w:type="dxa"/>
            <w:right w:w="108" w:type="dxa"/>
          </w:tblCellMar>
        </w:tblPrEx>
        <w:trPr>
          <w:trHeight w:val="402" w:hRule="atLeast"/>
          <w:jc w:val="center"/>
        </w:trPr>
        <w:tc>
          <w:tcPr>
            <w:tcW w:w="740" w:type="dxa"/>
            <w:shd w:val="clear"/>
            <w:vAlign w:val="top"/>
          </w:tcPr>
          <w:p>
            <w:pPr>
              <w:keepNext w:val="0"/>
              <w:keepLines w:val="0"/>
              <w:widowControl/>
              <w:suppressLineNumbers w:val="0"/>
              <w:spacing w:before="0" w:beforeAutospacing="0" w:after="0" w:afterAutospacing="0"/>
              <w:ind w:left="0" w:right="0"/>
              <w:jc w:val="center"/>
              <w:rPr>
                <w:rFonts w:hint="eastAsia" w:ascii="方正小标宋简体" w:hAnsi="方正小标宋简体" w:eastAsia="方正小标宋简体" w:cs="方正小标宋简体"/>
                <w:color w:val="000000"/>
                <w:kern w:val="0"/>
                <w:sz w:val="36"/>
                <w:szCs w:val="36"/>
                <w:bdr w:val="none" w:color="auto" w:sz="0" w:space="0"/>
                <w:lang w:val="en-US"/>
              </w:rPr>
            </w:pPr>
          </w:p>
        </w:tc>
        <w:tc>
          <w:tcPr>
            <w:tcW w:w="9749" w:type="dxa"/>
            <w:gridSpan w:val="5"/>
            <w:shd w:val="clear"/>
            <w:vAlign w:val="center"/>
          </w:tcPr>
          <w:p>
            <w:pPr>
              <w:keepNext w:val="0"/>
              <w:keepLines w:val="0"/>
              <w:widowControl/>
              <w:suppressLineNumbers w:val="0"/>
              <w:adjustRightInd w:val="0"/>
              <w:snapToGrid w:val="0"/>
              <w:spacing w:before="0" w:beforeAutospacing="0" w:after="0" w:afterAutospacing="0" w:line="600" w:lineRule="exact"/>
              <w:ind w:left="0" w:right="0"/>
              <w:jc w:val="center"/>
              <w:rPr>
                <w:rFonts w:hint="eastAsia" w:ascii="方正小标宋_GBK" w:hAnsi="方正小标宋_GBK" w:eastAsia="方正小标宋_GBK" w:cs="方正小标宋_GBK"/>
                <w:color w:val="000000"/>
                <w:kern w:val="0"/>
                <w:sz w:val="36"/>
                <w:szCs w:val="36"/>
                <w:bdr w:val="none" w:color="auto" w:sz="0" w:space="0"/>
                <w:lang w:val="en-US"/>
              </w:rPr>
            </w:pPr>
            <w:r>
              <w:rPr>
                <w:rFonts w:hint="eastAsia" w:ascii="方正小标宋_GBK" w:hAnsi="方正小标宋_GBK" w:eastAsia="方正小标宋_GBK" w:cs="方正小标宋_GBK"/>
                <w:color w:val="000000"/>
                <w:kern w:val="0"/>
                <w:sz w:val="36"/>
                <w:szCs w:val="36"/>
                <w:bdr w:val="none" w:color="auto" w:sz="0" w:space="0"/>
                <w:lang w:val="en-US" w:eastAsia="zh-CN" w:bidi="ar"/>
              </w:rPr>
              <w:t>浙江广播电视大学</w:t>
            </w:r>
          </w:p>
          <w:p>
            <w:pPr>
              <w:keepNext w:val="0"/>
              <w:keepLines w:val="0"/>
              <w:widowControl/>
              <w:suppressLineNumbers w:val="0"/>
              <w:adjustRightInd w:val="0"/>
              <w:snapToGrid w:val="0"/>
              <w:spacing w:before="0" w:beforeAutospacing="0" w:after="0" w:afterAutospacing="0" w:line="600" w:lineRule="exact"/>
              <w:ind w:left="0" w:right="0"/>
              <w:jc w:val="center"/>
              <w:rPr>
                <w:rFonts w:hint="eastAsia" w:ascii="仿宋_GB2312" w:hAnsi="宋体" w:eastAsia="仿宋_GB2312" w:cs="仿宋_GB2312"/>
                <w:b/>
                <w:color w:val="000000"/>
                <w:kern w:val="0"/>
                <w:sz w:val="32"/>
                <w:szCs w:val="32"/>
                <w:bdr w:val="none" w:color="auto" w:sz="0" w:space="0"/>
                <w:lang w:val="en-US"/>
              </w:rPr>
            </w:pPr>
            <w:r>
              <w:rPr>
                <w:rFonts w:hint="eastAsia" w:ascii="方正小标宋_GBK" w:hAnsi="方正小标宋_GBK" w:eastAsia="方正小标宋_GBK" w:cs="方正小标宋_GBK"/>
                <w:color w:val="000000"/>
                <w:kern w:val="0"/>
                <w:sz w:val="36"/>
                <w:szCs w:val="36"/>
                <w:bdr w:val="none" w:color="auto" w:sz="0" w:space="0"/>
                <w:lang w:val="en-US" w:eastAsia="zh-CN" w:bidi="ar"/>
              </w:rPr>
              <w:t>2017级成人高等教育开设专业一览表</w:t>
            </w:r>
          </w:p>
        </w:tc>
      </w:tr>
      <w:tr>
        <w:tblPrEx>
          <w:tblLayout w:type="fixed"/>
          <w:tblCellMar>
            <w:top w:w="0" w:type="dxa"/>
            <w:left w:w="108" w:type="dxa"/>
            <w:bottom w:w="0" w:type="dxa"/>
            <w:right w:w="108" w:type="dxa"/>
          </w:tblCellMar>
        </w:tblPrEx>
        <w:trPr>
          <w:trHeight w:val="402" w:hRule="atLeast"/>
          <w:jc w:val="center"/>
        </w:trPr>
        <w:tc>
          <w:tcPr>
            <w:tcW w:w="740"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b/>
                <w:color w:val="000000"/>
                <w:kern w:val="0"/>
                <w:sz w:val="24"/>
                <w:szCs w:val="24"/>
                <w:bdr w:val="none" w:color="auto" w:sz="0" w:space="0"/>
                <w:lang w:val="en-US"/>
              </w:rPr>
            </w:pPr>
            <w:r>
              <w:rPr>
                <w:rFonts w:hint="eastAsia" w:ascii="仿宋_GB2312" w:hAnsi="宋体" w:eastAsia="仿宋_GB2312" w:cs="仿宋_GB2312"/>
                <w:b/>
                <w:color w:val="000000"/>
                <w:kern w:val="0"/>
                <w:sz w:val="24"/>
                <w:szCs w:val="24"/>
                <w:bdr w:val="none" w:color="auto" w:sz="0" w:space="0"/>
                <w:lang w:val="en-US" w:eastAsia="zh-CN" w:bidi="ar"/>
              </w:rPr>
              <w:t>层次</w:t>
            </w:r>
          </w:p>
        </w:tc>
        <w:tc>
          <w:tcPr>
            <w:tcW w:w="74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b/>
                <w:color w:val="000000"/>
                <w:kern w:val="0"/>
                <w:sz w:val="24"/>
                <w:szCs w:val="24"/>
                <w:bdr w:val="none" w:color="auto" w:sz="0" w:space="0"/>
                <w:lang w:val="en-US"/>
              </w:rPr>
            </w:pPr>
            <w:r>
              <w:rPr>
                <w:rFonts w:hint="eastAsia" w:ascii="仿宋_GB2312" w:hAnsi="宋体" w:eastAsia="仿宋_GB2312" w:cs="仿宋_GB2312"/>
                <w:b/>
                <w:color w:val="000000"/>
                <w:kern w:val="0"/>
                <w:sz w:val="24"/>
                <w:szCs w:val="24"/>
                <w:bdr w:val="none" w:color="auto" w:sz="0" w:space="0"/>
                <w:lang w:val="en-US" w:eastAsia="zh-CN" w:bidi="ar"/>
              </w:rPr>
              <w:t>序号</w:t>
            </w:r>
          </w:p>
        </w:tc>
        <w:tc>
          <w:tcPr>
            <w:tcW w:w="276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b/>
                <w:color w:val="000000"/>
                <w:kern w:val="0"/>
                <w:sz w:val="24"/>
                <w:szCs w:val="24"/>
                <w:bdr w:val="none" w:color="auto" w:sz="0" w:space="0"/>
                <w:lang w:val="en-US"/>
              </w:rPr>
            </w:pPr>
            <w:r>
              <w:rPr>
                <w:rFonts w:hint="eastAsia" w:ascii="仿宋_GB2312" w:hAnsi="宋体" w:eastAsia="仿宋_GB2312" w:cs="仿宋_GB2312"/>
                <w:b/>
                <w:color w:val="000000"/>
                <w:kern w:val="0"/>
                <w:sz w:val="24"/>
                <w:szCs w:val="24"/>
                <w:bdr w:val="none" w:color="auto" w:sz="0" w:space="0"/>
                <w:lang w:val="en-US" w:eastAsia="zh-CN" w:bidi="ar"/>
              </w:rPr>
              <w:t>学科/大类</w:t>
            </w:r>
          </w:p>
        </w:tc>
        <w:tc>
          <w:tcPr>
            <w:tcW w:w="176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b/>
                <w:color w:val="000000"/>
                <w:kern w:val="0"/>
                <w:sz w:val="24"/>
                <w:szCs w:val="24"/>
                <w:bdr w:val="none" w:color="auto" w:sz="0" w:space="0"/>
                <w:lang w:val="en-US"/>
              </w:rPr>
            </w:pPr>
            <w:r>
              <w:rPr>
                <w:rFonts w:hint="eastAsia" w:ascii="仿宋_GB2312" w:hAnsi="宋体" w:eastAsia="仿宋_GB2312" w:cs="仿宋_GB2312"/>
                <w:b/>
                <w:color w:val="000000"/>
                <w:kern w:val="0"/>
                <w:sz w:val="24"/>
                <w:szCs w:val="24"/>
                <w:bdr w:val="none" w:color="auto" w:sz="0" w:space="0"/>
                <w:lang w:val="en-US" w:eastAsia="zh-CN" w:bidi="ar"/>
              </w:rPr>
              <w:t>专业类别</w:t>
            </w:r>
          </w:p>
        </w:tc>
        <w:tc>
          <w:tcPr>
            <w:tcW w:w="244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b/>
                <w:color w:val="000000"/>
                <w:kern w:val="0"/>
                <w:sz w:val="24"/>
                <w:szCs w:val="24"/>
                <w:bdr w:val="none" w:color="auto" w:sz="0" w:space="0"/>
                <w:lang w:val="en-US"/>
              </w:rPr>
            </w:pPr>
            <w:r>
              <w:rPr>
                <w:rFonts w:hint="eastAsia" w:ascii="仿宋_GB2312" w:hAnsi="宋体" w:eastAsia="仿宋_GB2312" w:cs="仿宋_GB2312"/>
                <w:b/>
                <w:color w:val="000000"/>
                <w:kern w:val="0"/>
                <w:sz w:val="24"/>
                <w:szCs w:val="24"/>
                <w:bdr w:val="none" w:color="auto" w:sz="0" w:space="0"/>
                <w:lang w:val="en-US" w:eastAsia="zh-CN" w:bidi="ar"/>
              </w:rPr>
              <w:t>专业名称</w:t>
            </w:r>
          </w:p>
        </w:tc>
        <w:tc>
          <w:tcPr>
            <w:tcW w:w="204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b/>
                <w:color w:val="000000"/>
                <w:kern w:val="0"/>
                <w:sz w:val="24"/>
                <w:szCs w:val="24"/>
                <w:bdr w:val="none" w:color="auto" w:sz="0" w:space="0"/>
                <w:lang w:val="en-US"/>
              </w:rPr>
            </w:pPr>
            <w:r>
              <w:rPr>
                <w:rFonts w:hint="eastAsia" w:ascii="仿宋_GB2312" w:hAnsi="宋体" w:eastAsia="仿宋_GB2312" w:cs="仿宋_GB2312"/>
                <w:b/>
                <w:color w:val="000000"/>
                <w:kern w:val="0"/>
                <w:sz w:val="24"/>
                <w:szCs w:val="24"/>
                <w:bdr w:val="none" w:color="auto" w:sz="0" w:space="0"/>
                <w:lang w:val="en-US" w:eastAsia="zh-CN" w:bidi="ar"/>
              </w:rPr>
              <w:t>备注</w:t>
            </w:r>
          </w:p>
        </w:tc>
      </w:tr>
      <w:tr>
        <w:tblPrEx>
          <w:tblLayout w:type="fixed"/>
          <w:tblCellMar>
            <w:top w:w="0" w:type="dxa"/>
            <w:left w:w="108" w:type="dxa"/>
            <w:bottom w:w="0" w:type="dxa"/>
            <w:right w:w="108" w:type="dxa"/>
          </w:tblCellMar>
        </w:tblPrEx>
        <w:trPr>
          <w:trHeight w:val="732" w:hRule="atLeast"/>
          <w:jc w:val="center"/>
        </w:trPr>
        <w:tc>
          <w:tcPr>
            <w:tcW w:w="740" w:type="dxa"/>
            <w:tcBorders>
              <w:top w:val="single" w:color="auto" w:sz="4" w:space="0"/>
              <w:left w:val="single" w:color="auto" w:sz="4" w:space="0"/>
              <w:bottom w:val="double" w:color="auto" w:sz="2" w:space="0"/>
              <w:right w:val="single" w:color="auto" w:sz="4" w:space="0"/>
            </w:tcBorders>
            <w:shd w:val="clear"/>
            <w:vAlign w:val="top"/>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本科</w:t>
            </w:r>
          </w:p>
        </w:tc>
        <w:tc>
          <w:tcPr>
            <w:tcW w:w="740" w:type="dxa"/>
            <w:tcBorders>
              <w:top w:val="single" w:color="auto" w:sz="4" w:space="0"/>
              <w:left w:val="nil"/>
              <w:bottom w:val="double" w:color="auto" w:sz="2"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w:t>
            </w:r>
          </w:p>
        </w:tc>
        <w:tc>
          <w:tcPr>
            <w:tcW w:w="2760" w:type="dxa"/>
            <w:tcBorders>
              <w:top w:val="single" w:color="auto" w:sz="4" w:space="0"/>
              <w:left w:val="nil"/>
              <w:bottom w:val="double" w:color="auto" w:sz="2"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管理学科</w:t>
            </w:r>
          </w:p>
        </w:tc>
        <w:tc>
          <w:tcPr>
            <w:tcW w:w="1760" w:type="dxa"/>
            <w:tcBorders>
              <w:top w:val="single" w:color="auto" w:sz="4" w:space="0"/>
              <w:left w:val="nil"/>
              <w:bottom w:val="double" w:color="auto" w:sz="2"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工商管理类</w:t>
            </w:r>
          </w:p>
        </w:tc>
        <w:tc>
          <w:tcPr>
            <w:tcW w:w="2440" w:type="dxa"/>
            <w:tcBorders>
              <w:top w:val="single" w:color="auto" w:sz="4" w:space="0"/>
              <w:left w:val="nil"/>
              <w:bottom w:val="double" w:color="auto" w:sz="2"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会计学</w:t>
            </w:r>
          </w:p>
        </w:tc>
        <w:tc>
          <w:tcPr>
            <w:tcW w:w="2049" w:type="dxa"/>
            <w:tcBorders>
              <w:top w:val="single" w:color="auto" w:sz="4" w:space="0"/>
              <w:left w:val="nil"/>
              <w:bottom w:val="double" w:color="auto" w:sz="2"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p>
        </w:tc>
      </w:tr>
      <w:tr>
        <w:tblPrEx>
          <w:tblLayout w:type="fixed"/>
          <w:tblCellMar>
            <w:top w:w="0" w:type="dxa"/>
            <w:left w:w="108" w:type="dxa"/>
            <w:bottom w:w="0" w:type="dxa"/>
            <w:right w:w="108" w:type="dxa"/>
          </w:tblCellMar>
        </w:tblPrEx>
        <w:trPr>
          <w:trHeight w:val="402" w:hRule="atLeast"/>
          <w:jc w:val="center"/>
        </w:trPr>
        <w:tc>
          <w:tcPr>
            <w:tcW w:w="740" w:type="dxa"/>
            <w:vMerge w:val="restart"/>
            <w:tcBorders>
              <w:top w:val="nil"/>
              <w:left w:val="single" w:color="auto" w:sz="4" w:space="0"/>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专科</w:t>
            </w: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w:t>
            </w:r>
          </w:p>
        </w:tc>
        <w:tc>
          <w:tcPr>
            <w:tcW w:w="2760" w:type="dxa"/>
            <w:vMerge w:val="restart"/>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艺术设计传媒大类</w:t>
            </w:r>
          </w:p>
        </w:tc>
        <w:tc>
          <w:tcPr>
            <w:tcW w:w="1760" w:type="dxa"/>
            <w:vMerge w:val="restart"/>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艺术设计类</w:t>
            </w:r>
          </w:p>
        </w:tc>
        <w:tc>
          <w:tcPr>
            <w:tcW w:w="24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广告设计与制作</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　</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2</w:t>
            </w:r>
          </w:p>
        </w:tc>
        <w:tc>
          <w:tcPr>
            <w:tcW w:w="2760" w:type="dxa"/>
            <w:vMerge w:val="continue"/>
            <w:tcBorders>
              <w:top w:val="nil"/>
              <w:left w:val="nil"/>
              <w:bottom w:val="nil"/>
              <w:right w:val="single" w:color="auto" w:sz="4" w:space="0"/>
            </w:tcBorders>
            <w:shd w:val="clear"/>
            <w:vAlign w:val="center"/>
          </w:tcPr>
          <w:p>
            <w:pPr>
              <w:rPr>
                <w:rFonts w:hint="default" w:ascii="Calibri" w:hAnsi="Calibri" w:eastAsia="宋体" w:cs="Times New Roman"/>
                <w:kern w:val="2"/>
                <w:sz w:val="21"/>
                <w:szCs w:val="22"/>
              </w:rPr>
            </w:pPr>
          </w:p>
        </w:tc>
        <w:tc>
          <w:tcPr>
            <w:tcW w:w="1760" w:type="dxa"/>
            <w:vMerge w:val="continue"/>
            <w:tcBorders>
              <w:top w:val="nil"/>
              <w:left w:val="nil"/>
              <w:bottom w:val="nil"/>
              <w:right w:val="single" w:color="auto" w:sz="4" w:space="0"/>
            </w:tcBorders>
            <w:shd w:val="clear"/>
            <w:vAlign w:val="center"/>
          </w:tcPr>
          <w:p>
            <w:pPr>
              <w:rPr>
                <w:rFonts w:hint="default" w:ascii="Calibri" w:hAnsi="Calibri" w:eastAsia="宋体" w:cs="Times New Roman"/>
                <w:kern w:val="2"/>
                <w:sz w:val="21"/>
                <w:szCs w:val="22"/>
              </w:rPr>
            </w:pPr>
          </w:p>
        </w:tc>
        <w:tc>
          <w:tcPr>
            <w:tcW w:w="24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装潢艺术设计</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3</w:t>
            </w:r>
          </w:p>
        </w:tc>
        <w:tc>
          <w:tcPr>
            <w:tcW w:w="2760"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文化教育大类</w:t>
            </w:r>
          </w:p>
        </w:tc>
        <w:tc>
          <w:tcPr>
            <w:tcW w:w="176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语言文化类</w:t>
            </w:r>
          </w:p>
        </w:tc>
        <w:tc>
          <w:tcPr>
            <w:tcW w:w="24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商务英语</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　</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4</w:t>
            </w:r>
          </w:p>
        </w:tc>
        <w:tc>
          <w:tcPr>
            <w:tcW w:w="2760" w:type="dxa"/>
            <w:vMerge w:val="continue"/>
            <w:tcBorders>
              <w:top w:val="single" w:color="auto" w:sz="4" w:space="0"/>
              <w:left w:val="nil"/>
              <w:bottom w:val="single" w:color="auto" w:sz="4" w:space="0"/>
              <w:right w:val="single" w:color="auto" w:sz="4" w:space="0"/>
            </w:tcBorders>
            <w:shd w:val="clear"/>
            <w:vAlign w:val="center"/>
          </w:tcPr>
          <w:p>
            <w:pPr>
              <w:rPr>
                <w:rFonts w:hint="default" w:ascii="Calibri" w:hAnsi="Calibri" w:eastAsia="宋体" w:cs="Times New Roman"/>
                <w:kern w:val="2"/>
                <w:sz w:val="21"/>
                <w:szCs w:val="22"/>
              </w:rPr>
            </w:pPr>
          </w:p>
        </w:tc>
        <w:tc>
          <w:tcPr>
            <w:tcW w:w="176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教育类</w:t>
            </w:r>
          </w:p>
        </w:tc>
        <w:tc>
          <w:tcPr>
            <w:tcW w:w="24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学前教育</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共建专业(含特设专业)</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5</w:t>
            </w:r>
          </w:p>
        </w:tc>
        <w:tc>
          <w:tcPr>
            <w:tcW w:w="2760" w:type="dxa"/>
            <w:vMerge w:val="restart"/>
            <w:tcBorders>
              <w:top w:val="nil"/>
              <w:left w:val="nil"/>
              <w:bottom w:val="single" w:color="000000"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财经大类</w:t>
            </w:r>
          </w:p>
        </w:tc>
        <w:tc>
          <w:tcPr>
            <w:tcW w:w="1760" w:type="dxa"/>
            <w:vMerge w:val="restart"/>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市场营销类</w:t>
            </w:r>
          </w:p>
        </w:tc>
        <w:tc>
          <w:tcPr>
            <w:tcW w:w="24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营销与策划</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　</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6</w:t>
            </w:r>
          </w:p>
        </w:tc>
        <w:tc>
          <w:tcPr>
            <w:tcW w:w="2760" w:type="dxa"/>
            <w:vMerge w:val="continue"/>
            <w:tcBorders>
              <w:top w:val="nil"/>
              <w:left w:val="nil"/>
              <w:bottom w:val="single" w:color="000000" w:sz="4" w:space="0"/>
              <w:right w:val="single" w:color="auto" w:sz="4" w:space="0"/>
            </w:tcBorders>
            <w:shd w:val="clear"/>
            <w:vAlign w:val="center"/>
          </w:tcPr>
          <w:p>
            <w:pPr>
              <w:rPr>
                <w:rFonts w:hint="default" w:ascii="Calibri" w:hAnsi="Calibri" w:eastAsia="宋体" w:cs="Times New Roman"/>
                <w:kern w:val="2"/>
                <w:sz w:val="21"/>
                <w:szCs w:val="22"/>
              </w:rPr>
            </w:pPr>
          </w:p>
        </w:tc>
        <w:tc>
          <w:tcPr>
            <w:tcW w:w="1760" w:type="dxa"/>
            <w:vMerge w:val="continue"/>
            <w:tcBorders>
              <w:top w:val="nil"/>
              <w:left w:val="nil"/>
              <w:bottom w:val="single" w:color="auto" w:sz="4" w:space="0"/>
              <w:right w:val="single" w:color="auto" w:sz="4" w:space="0"/>
            </w:tcBorders>
            <w:shd w:val="clear"/>
            <w:vAlign w:val="center"/>
          </w:tcPr>
          <w:p>
            <w:pPr>
              <w:rPr>
                <w:rFonts w:hint="default" w:ascii="Calibri" w:hAnsi="Calibri" w:eastAsia="宋体" w:cs="Times New Roman"/>
                <w:kern w:val="2"/>
                <w:sz w:val="21"/>
                <w:szCs w:val="22"/>
              </w:rPr>
            </w:pPr>
          </w:p>
        </w:tc>
        <w:tc>
          <w:tcPr>
            <w:tcW w:w="24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电子商务</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共建专业（含特设专业）</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7</w:t>
            </w:r>
          </w:p>
        </w:tc>
        <w:tc>
          <w:tcPr>
            <w:tcW w:w="2760" w:type="dxa"/>
            <w:vMerge w:val="continue"/>
            <w:tcBorders>
              <w:top w:val="nil"/>
              <w:left w:val="nil"/>
              <w:bottom w:val="single" w:color="000000" w:sz="4" w:space="0"/>
              <w:right w:val="single" w:color="auto" w:sz="4" w:space="0"/>
            </w:tcBorders>
            <w:shd w:val="clear"/>
            <w:vAlign w:val="center"/>
          </w:tcPr>
          <w:p>
            <w:pPr>
              <w:rPr>
                <w:rFonts w:hint="default" w:ascii="Calibri" w:hAnsi="Calibri" w:eastAsia="宋体" w:cs="Times New Roman"/>
                <w:kern w:val="2"/>
                <w:sz w:val="21"/>
                <w:szCs w:val="22"/>
              </w:rPr>
            </w:pPr>
          </w:p>
        </w:tc>
        <w:tc>
          <w:tcPr>
            <w:tcW w:w="1760" w:type="dxa"/>
            <w:vMerge w:val="restart"/>
            <w:tcBorders>
              <w:top w:val="nil"/>
              <w:left w:val="nil"/>
              <w:bottom w:val="single" w:color="000000"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工商管理类</w:t>
            </w:r>
          </w:p>
        </w:tc>
        <w:tc>
          <w:tcPr>
            <w:tcW w:w="2440" w:type="dxa"/>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工商企业管理</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共建专业（含特设专业）</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8</w:t>
            </w:r>
          </w:p>
        </w:tc>
        <w:tc>
          <w:tcPr>
            <w:tcW w:w="2760" w:type="dxa"/>
            <w:vMerge w:val="continue"/>
            <w:tcBorders>
              <w:top w:val="nil"/>
              <w:left w:val="nil"/>
              <w:bottom w:val="single" w:color="000000" w:sz="4" w:space="0"/>
              <w:right w:val="single" w:color="auto" w:sz="4" w:space="0"/>
            </w:tcBorders>
            <w:shd w:val="clear"/>
            <w:vAlign w:val="center"/>
          </w:tcPr>
          <w:p>
            <w:pPr>
              <w:rPr>
                <w:rFonts w:hint="default" w:ascii="Calibri" w:hAnsi="Calibri" w:eastAsia="宋体" w:cs="Times New Roman"/>
                <w:kern w:val="2"/>
                <w:sz w:val="21"/>
                <w:szCs w:val="22"/>
              </w:rPr>
            </w:pPr>
          </w:p>
        </w:tc>
        <w:tc>
          <w:tcPr>
            <w:tcW w:w="1760" w:type="dxa"/>
            <w:vMerge w:val="continue"/>
            <w:tcBorders>
              <w:top w:val="nil"/>
              <w:left w:val="nil"/>
              <w:bottom w:val="single" w:color="000000" w:sz="4" w:space="0"/>
              <w:right w:val="single" w:color="auto" w:sz="4" w:space="0"/>
            </w:tcBorders>
            <w:shd w:val="clear"/>
            <w:vAlign w:val="center"/>
          </w:tcPr>
          <w:p>
            <w:pPr>
              <w:rPr>
                <w:rFonts w:hint="default" w:ascii="Calibri" w:hAnsi="Calibri" w:eastAsia="宋体" w:cs="Times New Roman"/>
                <w:kern w:val="2"/>
                <w:sz w:val="21"/>
                <w:szCs w:val="22"/>
              </w:rPr>
            </w:pPr>
          </w:p>
        </w:tc>
        <w:tc>
          <w:tcPr>
            <w:tcW w:w="244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物流管理</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　</w:t>
            </w:r>
          </w:p>
        </w:tc>
      </w:tr>
      <w:tr>
        <w:tblPrEx>
          <w:tblLayout w:type="fixed"/>
          <w:tblCellMar>
            <w:top w:w="0" w:type="dxa"/>
            <w:left w:w="108" w:type="dxa"/>
            <w:bottom w:w="0" w:type="dxa"/>
            <w:right w:w="108" w:type="dxa"/>
          </w:tblCellMar>
        </w:tblPrEx>
        <w:trPr>
          <w:trHeight w:val="750"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9</w:t>
            </w:r>
          </w:p>
        </w:tc>
        <w:tc>
          <w:tcPr>
            <w:tcW w:w="2760" w:type="dxa"/>
            <w:vMerge w:val="continue"/>
            <w:tcBorders>
              <w:top w:val="nil"/>
              <w:left w:val="nil"/>
              <w:bottom w:val="single" w:color="000000" w:sz="4" w:space="0"/>
              <w:right w:val="single" w:color="auto" w:sz="4" w:space="0"/>
            </w:tcBorders>
            <w:shd w:val="clear"/>
            <w:vAlign w:val="center"/>
          </w:tcPr>
          <w:p>
            <w:pPr>
              <w:rPr>
                <w:rFonts w:hint="default" w:ascii="Calibri" w:hAnsi="Calibri" w:eastAsia="宋体" w:cs="Times New Roman"/>
                <w:kern w:val="2"/>
                <w:sz w:val="21"/>
                <w:szCs w:val="22"/>
              </w:rPr>
            </w:pPr>
          </w:p>
        </w:tc>
        <w:tc>
          <w:tcPr>
            <w:tcW w:w="1760" w:type="dxa"/>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财务会计类</w:t>
            </w:r>
          </w:p>
        </w:tc>
        <w:tc>
          <w:tcPr>
            <w:tcW w:w="2440" w:type="dxa"/>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会计</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共建专业（含特设专业）</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10</w:t>
            </w:r>
          </w:p>
        </w:tc>
        <w:tc>
          <w:tcPr>
            <w:tcW w:w="2760" w:type="dxa"/>
            <w:vMerge w:val="continue"/>
            <w:tcBorders>
              <w:top w:val="nil"/>
              <w:left w:val="nil"/>
              <w:bottom w:val="single" w:color="000000" w:sz="4" w:space="0"/>
              <w:right w:val="single" w:color="auto" w:sz="4" w:space="0"/>
            </w:tcBorders>
            <w:shd w:val="clear"/>
            <w:vAlign w:val="center"/>
          </w:tcPr>
          <w:p>
            <w:pPr>
              <w:rPr>
                <w:rFonts w:hint="default" w:ascii="Calibri" w:hAnsi="Calibri" w:eastAsia="宋体" w:cs="Times New Roman"/>
                <w:kern w:val="2"/>
                <w:sz w:val="21"/>
                <w:szCs w:val="22"/>
              </w:rPr>
            </w:pPr>
          </w:p>
        </w:tc>
        <w:tc>
          <w:tcPr>
            <w:tcW w:w="176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财政金融类</w:t>
            </w:r>
          </w:p>
        </w:tc>
        <w:tc>
          <w:tcPr>
            <w:tcW w:w="244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金融管理与实务</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 xml:space="preserve">含特设专业 </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11</w:t>
            </w:r>
          </w:p>
        </w:tc>
        <w:tc>
          <w:tcPr>
            <w:tcW w:w="2760" w:type="dxa"/>
            <w:vMerge w:val="continue"/>
            <w:tcBorders>
              <w:top w:val="nil"/>
              <w:left w:val="nil"/>
              <w:bottom w:val="single" w:color="000000" w:sz="4" w:space="0"/>
              <w:right w:val="single" w:color="auto" w:sz="4" w:space="0"/>
            </w:tcBorders>
            <w:shd w:val="clear"/>
            <w:vAlign w:val="center"/>
          </w:tcPr>
          <w:p>
            <w:pPr>
              <w:rPr>
                <w:rFonts w:hint="default" w:ascii="Calibri" w:hAnsi="Calibri" w:eastAsia="宋体" w:cs="Times New Roman"/>
                <w:kern w:val="2"/>
                <w:sz w:val="21"/>
                <w:szCs w:val="22"/>
              </w:rPr>
            </w:pPr>
          </w:p>
        </w:tc>
        <w:tc>
          <w:tcPr>
            <w:tcW w:w="1760" w:type="dxa"/>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经济贸易类</w:t>
            </w:r>
          </w:p>
        </w:tc>
        <w:tc>
          <w:tcPr>
            <w:tcW w:w="2440" w:type="dxa"/>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国际经济与贸易</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　</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12</w:t>
            </w:r>
          </w:p>
        </w:tc>
        <w:tc>
          <w:tcPr>
            <w:tcW w:w="2760" w:type="dxa"/>
            <w:vMerge w:val="restart"/>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土建大类</w:t>
            </w:r>
          </w:p>
        </w:tc>
        <w:tc>
          <w:tcPr>
            <w:tcW w:w="1760" w:type="dxa"/>
            <w:tcBorders>
              <w:top w:val="single" w:color="auto" w:sz="4" w:space="0"/>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土建施工类</w:t>
            </w:r>
          </w:p>
        </w:tc>
        <w:tc>
          <w:tcPr>
            <w:tcW w:w="2440" w:type="dxa"/>
            <w:tcBorders>
              <w:top w:val="single" w:color="auto" w:sz="4" w:space="0"/>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建筑工程技术</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　</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13</w:t>
            </w:r>
          </w:p>
        </w:tc>
        <w:tc>
          <w:tcPr>
            <w:tcW w:w="2760" w:type="dxa"/>
            <w:vMerge w:val="continue"/>
            <w:tcBorders>
              <w:top w:val="nil"/>
              <w:left w:val="nil"/>
              <w:bottom w:val="single" w:color="auto" w:sz="4" w:space="0"/>
              <w:right w:val="single" w:color="auto" w:sz="4" w:space="0"/>
            </w:tcBorders>
            <w:shd w:val="clear"/>
            <w:vAlign w:val="center"/>
          </w:tcPr>
          <w:p>
            <w:pPr>
              <w:rPr>
                <w:rFonts w:hint="default" w:ascii="Calibri" w:hAnsi="Calibri" w:eastAsia="宋体" w:cs="Times New Roman"/>
                <w:kern w:val="2"/>
                <w:sz w:val="21"/>
                <w:szCs w:val="22"/>
              </w:rPr>
            </w:pPr>
          </w:p>
        </w:tc>
        <w:tc>
          <w:tcPr>
            <w:tcW w:w="176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工程管理类</w:t>
            </w:r>
          </w:p>
        </w:tc>
        <w:tc>
          <w:tcPr>
            <w:tcW w:w="244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建筑经济管理</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　</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14</w:t>
            </w:r>
          </w:p>
        </w:tc>
        <w:tc>
          <w:tcPr>
            <w:tcW w:w="2760" w:type="dxa"/>
            <w:vMerge w:val="restart"/>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电子信息大类</w:t>
            </w:r>
          </w:p>
        </w:tc>
        <w:tc>
          <w:tcPr>
            <w:tcW w:w="1760" w:type="dxa"/>
            <w:vMerge w:val="restart"/>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计算机类</w:t>
            </w:r>
          </w:p>
        </w:tc>
        <w:tc>
          <w:tcPr>
            <w:tcW w:w="2440" w:type="dxa"/>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计算机网络技术</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15</w:t>
            </w:r>
          </w:p>
        </w:tc>
        <w:tc>
          <w:tcPr>
            <w:tcW w:w="2760" w:type="dxa"/>
            <w:vMerge w:val="continue"/>
            <w:tcBorders>
              <w:top w:val="nil"/>
              <w:left w:val="nil"/>
              <w:bottom w:val="nil"/>
              <w:right w:val="single" w:color="auto" w:sz="4" w:space="0"/>
            </w:tcBorders>
            <w:shd w:val="clear"/>
            <w:vAlign w:val="center"/>
          </w:tcPr>
          <w:p>
            <w:pPr>
              <w:rPr>
                <w:rFonts w:hint="default" w:ascii="Calibri" w:hAnsi="Calibri" w:eastAsia="宋体" w:cs="Times New Roman"/>
                <w:kern w:val="2"/>
                <w:sz w:val="21"/>
                <w:szCs w:val="22"/>
              </w:rPr>
            </w:pPr>
          </w:p>
        </w:tc>
        <w:tc>
          <w:tcPr>
            <w:tcW w:w="1760" w:type="dxa"/>
            <w:vMerge w:val="continue"/>
            <w:tcBorders>
              <w:top w:val="nil"/>
              <w:left w:val="nil"/>
              <w:bottom w:val="nil"/>
              <w:right w:val="single" w:color="auto" w:sz="4" w:space="0"/>
            </w:tcBorders>
            <w:shd w:val="clear"/>
            <w:vAlign w:val="center"/>
          </w:tcPr>
          <w:p>
            <w:pPr>
              <w:rPr>
                <w:rFonts w:hint="default" w:ascii="Calibri" w:hAnsi="Calibri" w:eastAsia="宋体" w:cs="Times New Roman"/>
                <w:kern w:val="2"/>
                <w:sz w:val="21"/>
                <w:szCs w:val="22"/>
              </w:rPr>
            </w:pPr>
          </w:p>
        </w:tc>
        <w:tc>
          <w:tcPr>
            <w:tcW w:w="244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计算机信息管理</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16</w:t>
            </w:r>
          </w:p>
        </w:tc>
        <w:tc>
          <w:tcPr>
            <w:tcW w:w="2760" w:type="dxa"/>
            <w:vMerge w:val="continue"/>
            <w:tcBorders>
              <w:top w:val="nil"/>
              <w:left w:val="nil"/>
              <w:bottom w:val="nil"/>
              <w:right w:val="single" w:color="auto" w:sz="4" w:space="0"/>
            </w:tcBorders>
            <w:shd w:val="clear"/>
            <w:vAlign w:val="center"/>
          </w:tcPr>
          <w:p>
            <w:pPr>
              <w:rPr>
                <w:rFonts w:hint="default" w:ascii="Calibri" w:hAnsi="Calibri" w:eastAsia="宋体" w:cs="Times New Roman"/>
                <w:kern w:val="2"/>
                <w:sz w:val="21"/>
                <w:szCs w:val="22"/>
              </w:rPr>
            </w:pPr>
          </w:p>
        </w:tc>
        <w:tc>
          <w:tcPr>
            <w:tcW w:w="1760" w:type="dxa"/>
            <w:vMerge w:val="continue"/>
            <w:tcBorders>
              <w:top w:val="nil"/>
              <w:left w:val="nil"/>
              <w:bottom w:val="nil"/>
              <w:right w:val="single" w:color="auto" w:sz="4" w:space="0"/>
            </w:tcBorders>
            <w:shd w:val="clear"/>
            <w:vAlign w:val="center"/>
          </w:tcPr>
          <w:p>
            <w:pPr>
              <w:rPr>
                <w:rFonts w:hint="default" w:ascii="Calibri" w:hAnsi="Calibri" w:eastAsia="宋体" w:cs="Times New Roman"/>
                <w:kern w:val="2"/>
                <w:sz w:val="21"/>
                <w:szCs w:val="22"/>
              </w:rPr>
            </w:pPr>
          </w:p>
        </w:tc>
        <w:tc>
          <w:tcPr>
            <w:tcW w:w="244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动漫设计与制作</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17</w:t>
            </w:r>
          </w:p>
        </w:tc>
        <w:tc>
          <w:tcPr>
            <w:tcW w:w="2760" w:type="dxa"/>
            <w:vMerge w:val="restart"/>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制造大类</w:t>
            </w:r>
          </w:p>
        </w:tc>
        <w:tc>
          <w:tcPr>
            <w:tcW w:w="1760" w:type="dxa"/>
            <w:vMerge w:val="restart"/>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自动化类</w:t>
            </w:r>
          </w:p>
        </w:tc>
        <w:tc>
          <w:tcPr>
            <w:tcW w:w="2440" w:type="dxa"/>
            <w:tcBorders>
              <w:top w:val="nil"/>
              <w:left w:val="nil"/>
              <w:bottom w:val="nil"/>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机电一体化技术</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共建专业</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18</w:t>
            </w:r>
          </w:p>
        </w:tc>
        <w:tc>
          <w:tcPr>
            <w:tcW w:w="2760" w:type="dxa"/>
            <w:vMerge w:val="continue"/>
            <w:tcBorders>
              <w:top w:val="nil"/>
              <w:left w:val="nil"/>
              <w:bottom w:val="nil"/>
              <w:right w:val="single" w:color="auto" w:sz="4" w:space="0"/>
            </w:tcBorders>
            <w:shd w:val="clear"/>
            <w:vAlign w:val="center"/>
          </w:tcPr>
          <w:p>
            <w:pPr>
              <w:rPr>
                <w:rFonts w:hint="default" w:ascii="Calibri" w:hAnsi="Calibri" w:eastAsia="宋体" w:cs="Times New Roman"/>
                <w:kern w:val="2"/>
                <w:sz w:val="21"/>
                <w:szCs w:val="22"/>
              </w:rPr>
            </w:pPr>
          </w:p>
        </w:tc>
        <w:tc>
          <w:tcPr>
            <w:tcW w:w="1760" w:type="dxa"/>
            <w:vMerge w:val="continue"/>
            <w:tcBorders>
              <w:top w:val="nil"/>
              <w:left w:val="nil"/>
              <w:bottom w:val="nil"/>
              <w:right w:val="single" w:color="auto" w:sz="4" w:space="0"/>
            </w:tcBorders>
            <w:shd w:val="clear"/>
            <w:vAlign w:val="center"/>
          </w:tcPr>
          <w:p>
            <w:pPr>
              <w:rPr>
                <w:rFonts w:hint="default" w:ascii="Calibri" w:hAnsi="Calibri" w:eastAsia="宋体" w:cs="Times New Roman"/>
                <w:kern w:val="2"/>
                <w:sz w:val="21"/>
                <w:szCs w:val="22"/>
              </w:rPr>
            </w:pPr>
          </w:p>
        </w:tc>
        <w:tc>
          <w:tcPr>
            <w:tcW w:w="244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电气自动化技术</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特设专业</w:t>
            </w:r>
          </w:p>
        </w:tc>
      </w:tr>
      <w:tr>
        <w:tblPrEx>
          <w:tblLayout w:type="fixed"/>
          <w:tblCellMar>
            <w:top w:w="0" w:type="dxa"/>
            <w:left w:w="108" w:type="dxa"/>
            <w:bottom w:w="0" w:type="dxa"/>
            <w:right w:w="108" w:type="dxa"/>
          </w:tblCellMar>
        </w:tblPrEx>
        <w:trPr>
          <w:trHeight w:val="402" w:hRule="atLeast"/>
          <w:jc w:val="center"/>
        </w:trPr>
        <w:tc>
          <w:tcPr>
            <w:tcW w:w="740" w:type="dxa"/>
            <w:vMerge w:val="continue"/>
            <w:tcBorders>
              <w:top w:val="nil"/>
              <w:left w:val="single" w:color="auto" w:sz="4" w:space="0"/>
              <w:bottom w:val="nil"/>
              <w:right w:val="single" w:color="auto" w:sz="4" w:space="0"/>
            </w:tcBorders>
            <w:shd w:val="clear"/>
            <w:vAlign w:val="center"/>
          </w:tcPr>
          <w:p>
            <w:pPr>
              <w:rPr>
                <w:rFonts w:hint="default" w:ascii="Calibri" w:hAnsi="Calibri" w:eastAsia="宋体" w:cs="Times New Roman"/>
                <w:kern w:val="2"/>
                <w:sz w:val="21"/>
                <w:szCs w:val="22"/>
              </w:rPr>
            </w:pPr>
          </w:p>
        </w:tc>
        <w:tc>
          <w:tcPr>
            <w:tcW w:w="7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19</w:t>
            </w:r>
          </w:p>
        </w:tc>
        <w:tc>
          <w:tcPr>
            <w:tcW w:w="276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生化与药品大类</w:t>
            </w:r>
          </w:p>
        </w:tc>
        <w:tc>
          <w:tcPr>
            <w:tcW w:w="176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食品药品管理类</w:t>
            </w:r>
          </w:p>
        </w:tc>
        <w:tc>
          <w:tcPr>
            <w:tcW w:w="24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食品药品监督管理</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　</w:t>
            </w:r>
          </w:p>
        </w:tc>
      </w:tr>
      <w:tr>
        <w:tblPrEx>
          <w:tblLayout w:type="fixed"/>
          <w:tblCellMar>
            <w:top w:w="0" w:type="dxa"/>
            <w:left w:w="108" w:type="dxa"/>
            <w:bottom w:w="0" w:type="dxa"/>
            <w:right w:w="108" w:type="dxa"/>
          </w:tblCellMar>
        </w:tblPrEx>
        <w:trPr>
          <w:trHeight w:val="402" w:hRule="atLeast"/>
          <w:jc w:val="center"/>
        </w:trPr>
        <w:tc>
          <w:tcPr>
            <w:tcW w:w="740" w:type="dxa"/>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p>
        </w:tc>
        <w:tc>
          <w:tcPr>
            <w:tcW w:w="74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20</w:t>
            </w:r>
          </w:p>
        </w:tc>
        <w:tc>
          <w:tcPr>
            <w:tcW w:w="276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制造大类</w:t>
            </w:r>
          </w:p>
        </w:tc>
        <w:tc>
          <w:tcPr>
            <w:tcW w:w="176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汽车类</w:t>
            </w:r>
          </w:p>
        </w:tc>
        <w:tc>
          <w:tcPr>
            <w:tcW w:w="2440"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r>
              <w:rPr>
                <w:rFonts w:hint="eastAsia" w:ascii="仿宋_GB2312" w:hAnsi="宋体" w:eastAsia="仿宋_GB2312" w:cs="仿宋_GB2312"/>
                <w:color w:val="000000"/>
                <w:kern w:val="0"/>
                <w:sz w:val="24"/>
                <w:szCs w:val="24"/>
                <w:bdr w:val="none" w:color="auto" w:sz="0" w:space="0"/>
                <w:lang w:val="en-US" w:eastAsia="zh-CN" w:bidi="ar"/>
              </w:rPr>
              <w:t>汽车营销与管理</w:t>
            </w:r>
          </w:p>
        </w:tc>
        <w:tc>
          <w:tcPr>
            <w:tcW w:w="2049" w:type="dxa"/>
            <w:tcBorders>
              <w:top w:val="nil"/>
              <w:left w:val="nil"/>
              <w:bottom w:val="single" w:color="auto" w:sz="4" w:space="0"/>
              <w:right w:val="single" w:color="auto" w:sz="4" w:space="0"/>
            </w:tcBorders>
            <w:shd w:val="clear"/>
            <w:vAlign w:val="center"/>
          </w:tcPr>
          <w:p>
            <w:pPr>
              <w:keepNext w:val="0"/>
              <w:keepLines w:val="0"/>
              <w:widowControl/>
              <w:suppressLineNumbers w:val="0"/>
              <w:adjustRightInd w:val="0"/>
              <w:snapToGrid w:val="0"/>
              <w:spacing w:before="0" w:beforeAutospacing="0" w:after="0" w:afterAutospacing="0" w:line="360" w:lineRule="exact"/>
              <w:ind w:left="0" w:right="0"/>
              <w:jc w:val="center"/>
              <w:rPr>
                <w:rFonts w:hint="eastAsia" w:ascii="仿宋_GB2312" w:hAnsi="宋体" w:eastAsia="仿宋_GB2312" w:cs="仿宋_GB2312"/>
                <w:color w:val="000000"/>
                <w:kern w:val="0"/>
                <w:sz w:val="24"/>
                <w:szCs w:val="24"/>
                <w:bdr w:val="none" w:color="auto" w:sz="0" w:space="0"/>
                <w:lang w:val="en-US"/>
              </w:rPr>
            </w:pPr>
          </w:p>
        </w:tc>
      </w:tr>
    </w:tbl>
    <w:p>
      <w:pPr>
        <w:rPr>
          <w:rFonts w:hint="eastAsia" w:ascii="宋体" w:hAnsi="宋体" w:eastAsia="宋体" w:cs="宋体"/>
          <w:kern w:val="2"/>
          <w:sz w:val="32"/>
          <w:szCs w:val="32"/>
          <w:lang w:val="en-US" w:eastAsia="zh-CN" w:bidi="ar"/>
        </w:rPr>
        <w:sectPr>
          <w:footerReference r:id="rId3" w:type="default"/>
          <w:pgSz w:w="11906" w:h="16838"/>
          <w:pgMar w:top="1985" w:right="1531" w:bottom="1985" w:left="1531" w:header="851" w:footer="992" w:gutter="0"/>
          <w:paperSrc/>
          <w:pgNumType w:fmt="numberInDash"/>
          <w:cols w:space="0" w:num="1"/>
          <w:rtlGutter w:val="0"/>
          <w:docGrid w:type="lines" w:linePitch="312" w:charSpace="0"/>
        </w:sectPr>
      </w:pPr>
    </w:p>
    <w:tbl>
      <w:tblPr>
        <w:tblStyle w:val="6"/>
        <w:tblpPr w:leftFromText="180" w:rightFromText="180" w:horzAnchor="margin" w:tblpXSpec="left" w:tblpY="2985"/>
        <w:tblW w:w="13872" w:type="dxa"/>
        <w:tblInd w:w="0" w:type="dxa"/>
        <w:shd w:val="clear"/>
        <w:tblLayout w:type="fixed"/>
        <w:tblCellMar>
          <w:top w:w="0" w:type="dxa"/>
          <w:left w:w="108" w:type="dxa"/>
          <w:bottom w:w="0" w:type="dxa"/>
          <w:right w:w="108" w:type="dxa"/>
        </w:tblCellMar>
      </w:tblPr>
      <w:tblGrid>
        <w:gridCol w:w="1409"/>
        <w:gridCol w:w="2692"/>
        <w:gridCol w:w="2836"/>
        <w:gridCol w:w="2125"/>
        <w:gridCol w:w="1422"/>
        <w:gridCol w:w="1009"/>
        <w:gridCol w:w="2379"/>
      </w:tblGrid>
      <w:tr>
        <w:tblPrEx>
          <w:tblLayout w:type="fixed"/>
          <w:tblCellMar>
            <w:top w:w="0" w:type="dxa"/>
            <w:left w:w="108" w:type="dxa"/>
            <w:bottom w:w="0" w:type="dxa"/>
            <w:right w:w="108" w:type="dxa"/>
          </w:tblCellMar>
        </w:tblPrEx>
        <w:trPr>
          <w:trHeight w:val="521" w:hRule="atLeast"/>
        </w:trPr>
        <w:tc>
          <w:tcPr>
            <w:tcW w:w="141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202" w:leftChars="-96" w:right="0" w:firstLine="200" w:firstLineChars="83"/>
              <w:jc w:val="center"/>
              <w:rPr>
                <w:b/>
                <w:sz w:val="24"/>
                <w:szCs w:val="24"/>
                <w:bdr w:val="none" w:color="auto" w:sz="0" w:space="0"/>
                <w:lang w:val="en-US"/>
              </w:rPr>
            </w:pPr>
            <w:r>
              <w:rPr>
                <w:rFonts w:hint="eastAsia" w:ascii="Times New Roman" w:hAnsi="Times New Roman" w:eastAsia="宋体" w:cs="宋体"/>
                <w:b/>
                <w:kern w:val="2"/>
                <w:sz w:val="24"/>
                <w:szCs w:val="24"/>
                <w:bdr w:val="none" w:color="auto" w:sz="0" w:space="0"/>
                <w:lang w:val="en-US" w:eastAsia="zh-CN" w:bidi="ar"/>
              </w:rPr>
              <w:t>专业名称</w:t>
            </w:r>
          </w:p>
        </w:tc>
        <w:tc>
          <w:tcPr>
            <w:tcW w:w="2693"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502" w:leftChars="-239" w:right="0"/>
              <w:jc w:val="center"/>
              <w:rPr>
                <w:b/>
                <w:sz w:val="24"/>
                <w:szCs w:val="24"/>
                <w:bdr w:val="none" w:color="auto" w:sz="0" w:space="0"/>
                <w:lang w:val="en-US"/>
              </w:rPr>
            </w:pPr>
            <w:r>
              <w:rPr>
                <w:rFonts w:hint="eastAsia" w:ascii="Times New Roman" w:hAnsi="Times New Roman" w:eastAsia="宋体" w:cs="宋体"/>
                <w:b/>
                <w:kern w:val="2"/>
                <w:sz w:val="24"/>
                <w:szCs w:val="24"/>
                <w:bdr w:val="none" w:color="auto" w:sz="0" w:space="0"/>
                <w:lang w:val="en-US" w:eastAsia="zh-CN" w:bidi="ar"/>
              </w:rPr>
              <w:t>统考课程</w:t>
            </w:r>
            <w:r>
              <w:rPr>
                <w:rFonts w:hint="default" w:ascii="Times New Roman" w:hAnsi="Times New Roman" w:eastAsia="宋体" w:cs="Calibri"/>
                <w:b/>
                <w:kern w:val="2"/>
                <w:sz w:val="24"/>
                <w:szCs w:val="24"/>
                <w:bdr w:val="none" w:color="auto" w:sz="0" w:space="0"/>
                <w:lang w:val="en-US" w:eastAsia="zh-CN" w:bidi="ar"/>
              </w:rPr>
              <w:t>1</w:t>
            </w:r>
          </w:p>
        </w:tc>
        <w:tc>
          <w:tcPr>
            <w:tcW w:w="2837"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b/>
                <w:sz w:val="24"/>
                <w:szCs w:val="24"/>
                <w:bdr w:val="none" w:color="auto" w:sz="0" w:space="0"/>
                <w:lang w:val="en-US"/>
              </w:rPr>
            </w:pPr>
            <w:r>
              <w:rPr>
                <w:rFonts w:hint="eastAsia" w:ascii="Times New Roman" w:hAnsi="Times New Roman" w:eastAsia="宋体" w:cs="宋体"/>
                <w:b/>
                <w:kern w:val="2"/>
                <w:sz w:val="24"/>
                <w:szCs w:val="24"/>
                <w:bdr w:val="none" w:color="auto" w:sz="0" w:space="0"/>
                <w:lang w:val="en-US" w:eastAsia="zh-CN" w:bidi="ar"/>
              </w:rPr>
              <w:t>统考课程</w:t>
            </w:r>
            <w:r>
              <w:rPr>
                <w:rFonts w:hint="default" w:ascii="Times New Roman" w:hAnsi="Times New Roman" w:eastAsia="宋体" w:cs="Calibri"/>
                <w:b/>
                <w:kern w:val="2"/>
                <w:sz w:val="24"/>
                <w:szCs w:val="24"/>
                <w:bdr w:val="none" w:color="auto" w:sz="0" w:space="0"/>
                <w:lang w:val="en-US" w:eastAsia="zh-CN" w:bidi="ar"/>
              </w:rPr>
              <w:t>2</w:t>
            </w:r>
          </w:p>
        </w:tc>
        <w:tc>
          <w:tcPr>
            <w:tcW w:w="212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b/>
                <w:sz w:val="24"/>
                <w:szCs w:val="24"/>
                <w:bdr w:val="none" w:color="auto" w:sz="0" w:space="0"/>
                <w:lang w:val="en-US"/>
              </w:rPr>
            </w:pPr>
            <w:r>
              <w:rPr>
                <w:rFonts w:hint="eastAsia" w:ascii="Times New Roman" w:hAnsi="Times New Roman" w:eastAsia="宋体" w:cs="宋体"/>
                <w:b/>
                <w:kern w:val="2"/>
                <w:sz w:val="24"/>
                <w:szCs w:val="24"/>
                <w:bdr w:val="none" w:color="auto" w:sz="0" w:space="0"/>
                <w:lang w:val="en-US" w:eastAsia="zh-CN" w:bidi="ar"/>
              </w:rPr>
              <w:t>统考课程</w:t>
            </w:r>
            <w:r>
              <w:rPr>
                <w:rFonts w:hint="default" w:ascii="Times New Roman" w:hAnsi="Times New Roman" w:eastAsia="宋体" w:cs="Calibri"/>
                <w:b/>
                <w:kern w:val="2"/>
                <w:sz w:val="24"/>
                <w:szCs w:val="24"/>
                <w:bdr w:val="none" w:color="auto" w:sz="0" w:space="0"/>
                <w:lang w:val="en-US" w:eastAsia="zh-CN" w:bidi="ar"/>
              </w:rPr>
              <w:t>3</w:t>
            </w:r>
          </w:p>
        </w:tc>
        <w:tc>
          <w:tcPr>
            <w:tcW w:w="2432" w:type="dxa"/>
            <w:gridSpan w:val="2"/>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107" w:leftChars="-51" w:right="0"/>
              <w:jc w:val="center"/>
              <w:rPr>
                <w:b/>
                <w:sz w:val="24"/>
                <w:szCs w:val="24"/>
                <w:bdr w:val="none" w:color="auto" w:sz="0" w:space="0"/>
                <w:lang w:val="en-US"/>
              </w:rPr>
            </w:pPr>
            <w:r>
              <w:rPr>
                <w:rFonts w:hint="eastAsia" w:ascii="Times New Roman" w:hAnsi="Times New Roman" w:eastAsia="宋体" w:cs="宋体"/>
                <w:b/>
                <w:kern w:val="2"/>
                <w:sz w:val="24"/>
                <w:szCs w:val="24"/>
                <w:bdr w:val="none" w:color="auto" w:sz="0" w:space="0"/>
                <w:lang w:val="en-US" w:eastAsia="zh-CN" w:bidi="ar"/>
              </w:rPr>
              <w:t>统考课程</w:t>
            </w:r>
            <w:r>
              <w:rPr>
                <w:rFonts w:hint="default" w:ascii="Times New Roman" w:hAnsi="Times New Roman" w:eastAsia="宋体" w:cs="Calibri"/>
                <w:b/>
                <w:kern w:val="2"/>
                <w:sz w:val="24"/>
                <w:szCs w:val="24"/>
                <w:bdr w:val="none" w:color="auto" w:sz="0" w:space="0"/>
                <w:lang w:val="en-US" w:eastAsia="zh-CN" w:bidi="ar"/>
              </w:rPr>
              <w:t>4</w:t>
            </w:r>
          </w:p>
        </w:tc>
        <w:tc>
          <w:tcPr>
            <w:tcW w:w="23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b/>
                <w:sz w:val="24"/>
                <w:szCs w:val="24"/>
                <w:bdr w:val="none" w:color="auto" w:sz="0" w:space="0"/>
                <w:lang w:val="en-US"/>
              </w:rPr>
            </w:pPr>
            <w:r>
              <w:rPr>
                <w:rFonts w:hint="eastAsia" w:ascii="Times New Roman" w:hAnsi="Times New Roman" w:eastAsia="宋体" w:cs="宋体"/>
                <w:b/>
                <w:kern w:val="2"/>
                <w:sz w:val="24"/>
                <w:szCs w:val="24"/>
                <w:bdr w:val="none" w:color="auto" w:sz="0" w:space="0"/>
                <w:lang w:val="en-US" w:eastAsia="zh-CN" w:bidi="ar"/>
              </w:rPr>
              <w:t>统考课程</w:t>
            </w:r>
            <w:r>
              <w:rPr>
                <w:rFonts w:hint="default" w:ascii="Times New Roman" w:hAnsi="Times New Roman" w:eastAsia="宋体" w:cs="Calibri"/>
                <w:b/>
                <w:kern w:val="2"/>
                <w:sz w:val="24"/>
                <w:szCs w:val="24"/>
                <w:bdr w:val="none" w:color="auto" w:sz="0" w:space="0"/>
                <w:lang w:val="en-US" w:eastAsia="zh-CN" w:bidi="ar"/>
              </w:rPr>
              <w:t>5</w:t>
            </w:r>
          </w:p>
        </w:tc>
      </w:tr>
      <w:tr>
        <w:tblPrEx>
          <w:tblLayout w:type="fixed"/>
          <w:tblCellMar>
            <w:top w:w="0" w:type="dxa"/>
            <w:left w:w="108" w:type="dxa"/>
            <w:bottom w:w="0" w:type="dxa"/>
            <w:right w:w="108" w:type="dxa"/>
          </w:tblCellMar>
        </w:tblPrEx>
        <w:trPr>
          <w:trHeight w:val="589" w:hRule="atLeast"/>
        </w:trPr>
        <w:tc>
          <w:tcPr>
            <w:tcW w:w="141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sz w:val="24"/>
                <w:szCs w:val="24"/>
                <w:bdr w:val="none" w:color="auto" w:sz="0" w:space="0"/>
                <w:lang w:val="en-US"/>
              </w:rPr>
            </w:pPr>
            <w:r>
              <w:rPr>
                <w:rFonts w:hint="eastAsia" w:ascii="Times New Roman" w:hAnsi="Times New Roman" w:eastAsia="宋体" w:cs="宋体"/>
                <w:kern w:val="2"/>
                <w:sz w:val="24"/>
                <w:szCs w:val="24"/>
                <w:bdr w:val="none" w:color="auto" w:sz="0" w:space="0"/>
                <w:lang w:val="en-US" w:eastAsia="zh-CN" w:bidi="ar"/>
              </w:rPr>
              <w:t>会计学</w:t>
            </w:r>
          </w:p>
        </w:tc>
        <w:tc>
          <w:tcPr>
            <w:tcW w:w="2693"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sz w:val="24"/>
                <w:szCs w:val="24"/>
                <w:bdr w:val="none" w:color="auto" w:sz="0" w:space="0"/>
                <w:lang w:val="en-US"/>
              </w:rPr>
            </w:pPr>
            <w:r>
              <w:rPr>
                <w:rFonts w:hint="eastAsia" w:ascii="Times New Roman" w:hAnsi="Times New Roman" w:eastAsia="宋体" w:cs="宋体"/>
                <w:kern w:val="2"/>
                <w:sz w:val="24"/>
                <w:szCs w:val="24"/>
                <w:bdr w:val="none" w:color="auto" w:sz="0" w:space="0"/>
                <w:lang w:val="en-US" w:eastAsia="zh-CN" w:bidi="ar"/>
              </w:rPr>
              <w:t>马克思主义基本原理</w:t>
            </w:r>
          </w:p>
        </w:tc>
        <w:tc>
          <w:tcPr>
            <w:tcW w:w="2837"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sz w:val="24"/>
                <w:szCs w:val="24"/>
                <w:bdr w:val="none" w:color="auto" w:sz="0" w:space="0"/>
                <w:lang w:val="en-US"/>
              </w:rPr>
            </w:pPr>
            <w:r>
              <w:rPr>
                <w:rFonts w:hint="eastAsia" w:ascii="Times New Roman" w:hAnsi="Times New Roman" w:eastAsia="宋体" w:cs="宋体"/>
                <w:kern w:val="2"/>
                <w:sz w:val="24"/>
                <w:szCs w:val="24"/>
                <w:bdr w:val="none" w:color="auto" w:sz="0" w:space="0"/>
                <w:lang w:val="en-US" w:eastAsia="zh-CN" w:bidi="ar"/>
              </w:rPr>
              <w:t>大学计算机应用基础</w:t>
            </w:r>
          </w:p>
        </w:tc>
        <w:tc>
          <w:tcPr>
            <w:tcW w:w="212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sz w:val="24"/>
                <w:szCs w:val="24"/>
                <w:bdr w:val="none" w:color="auto" w:sz="0" w:space="0"/>
                <w:lang w:val="en-US"/>
              </w:rPr>
            </w:pPr>
            <w:r>
              <w:rPr>
                <w:rFonts w:hint="eastAsia" w:ascii="Times New Roman" w:hAnsi="Times New Roman" w:eastAsia="宋体" w:cs="宋体"/>
                <w:kern w:val="2"/>
                <w:sz w:val="24"/>
                <w:szCs w:val="24"/>
                <w:bdr w:val="none" w:color="auto" w:sz="0" w:space="0"/>
                <w:lang w:val="en-US" w:eastAsia="zh-CN" w:bidi="ar"/>
              </w:rPr>
              <w:t>中级会计实务</w:t>
            </w:r>
          </w:p>
        </w:tc>
        <w:tc>
          <w:tcPr>
            <w:tcW w:w="2432" w:type="dxa"/>
            <w:gridSpan w:val="2"/>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sz w:val="24"/>
                <w:szCs w:val="24"/>
                <w:bdr w:val="none" w:color="auto" w:sz="0" w:space="0"/>
                <w:lang w:val="en-US"/>
              </w:rPr>
            </w:pPr>
            <w:r>
              <w:rPr>
                <w:rFonts w:hint="eastAsia" w:ascii="Times New Roman" w:hAnsi="Times New Roman" w:eastAsia="宋体" w:cs="宋体"/>
                <w:kern w:val="2"/>
                <w:sz w:val="24"/>
                <w:szCs w:val="24"/>
                <w:bdr w:val="none" w:color="auto" w:sz="0" w:space="0"/>
                <w:lang w:val="en-US" w:eastAsia="zh-CN" w:bidi="ar"/>
              </w:rPr>
              <w:t>企业财务报表分析</w:t>
            </w:r>
          </w:p>
        </w:tc>
        <w:tc>
          <w:tcPr>
            <w:tcW w:w="23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sz w:val="24"/>
                <w:szCs w:val="24"/>
                <w:bdr w:val="none" w:color="auto" w:sz="0" w:space="0"/>
                <w:lang w:val="en-US"/>
              </w:rPr>
            </w:pPr>
            <w:r>
              <w:rPr>
                <w:rFonts w:hint="eastAsia" w:ascii="Times New Roman" w:hAnsi="Times New Roman" w:eastAsia="宋体" w:cs="宋体"/>
                <w:kern w:val="2"/>
                <w:sz w:val="24"/>
                <w:szCs w:val="24"/>
                <w:bdr w:val="none" w:color="auto" w:sz="0" w:space="0"/>
                <w:lang w:val="en-US" w:eastAsia="zh-CN" w:bidi="ar"/>
              </w:rPr>
              <w:t>内部控制</w:t>
            </w:r>
          </w:p>
        </w:tc>
      </w:tr>
      <w:tr>
        <w:tblPrEx>
          <w:tblLayout w:type="fixed"/>
          <w:tblCellMar>
            <w:top w:w="0" w:type="dxa"/>
            <w:left w:w="108" w:type="dxa"/>
            <w:bottom w:w="0" w:type="dxa"/>
            <w:right w:w="108" w:type="dxa"/>
          </w:tblCellMar>
        </w:tblPrEx>
        <w:trPr>
          <w:gridAfter w:val="2"/>
          <w:wAfter w:w="3388" w:type="dxa"/>
          <w:trHeight w:val="402" w:hRule="atLeast"/>
        </w:trPr>
        <w:tc>
          <w:tcPr>
            <w:tcW w:w="10489" w:type="dxa"/>
            <w:gridSpan w:val="5"/>
            <w:shd w:val="clear"/>
            <w:vAlign w:val="top"/>
          </w:tcPr>
          <w:p>
            <w:pPr>
              <w:keepNext w:val="0"/>
              <w:keepLines w:val="0"/>
              <w:widowControl w:val="0"/>
              <w:suppressLineNumbers w:val="0"/>
              <w:spacing w:before="0" w:beforeAutospacing="0" w:after="0" w:afterAutospacing="0"/>
              <w:ind w:left="0" w:right="0"/>
              <w:jc w:val="left"/>
              <w:rPr>
                <w:sz w:val="24"/>
                <w:szCs w:val="24"/>
                <w:bdr w:val="none" w:color="auto" w:sz="0" w:space="0"/>
                <w:lang w:val="en-US"/>
              </w:rPr>
            </w:pPr>
            <w:r>
              <w:rPr>
                <w:rFonts w:hint="eastAsia" w:ascii="宋体" w:hAnsi="宋体" w:eastAsia="宋体" w:cs="宋体"/>
                <w:kern w:val="2"/>
                <w:sz w:val="32"/>
                <w:szCs w:val="32"/>
                <w:bdr w:val="none" w:color="auto" w:sz="0" w:space="0"/>
                <w:lang w:val="en-US" w:eastAsia="zh-CN" w:bidi="ar"/>
              </w:rPr>
              <w:t> </w:t>
            </w:r>
          </w:p>
          <w:p>
            <w:pPr>
              <w:keepNext w:val="0"/>
              <w:keepLines w:val="0"/>
              <w:widowControl w:val="0"/>
              <w:suppressLineNumbers w:val="0"/>
              <w:spacing w:before="0" w:beforeAutospacing="0" w:after="0" w:afterAutospacing="0"/>
              <w:ind w:left="0" w:right="0" w:firstLine="120" w:firstLineChars="50"/>
              <w:jc w:val="both"/>
              <w:rPr>
                <w:sz w:val="24"/>
                <w:szCs w:val="24"/>
                <w:bdr w:val="none" w:color="auto" w:sz="0" w:space="0"/>
                <w:lang w:val="en-US"/>
              </w:rPr>
            </w:pPr>
            <w:r>
              <w:rPr>
                <w:rFonts w:hint="eastAsia" w:ascii="Times New Roman" w:hAnsi="Times New Roman" w:eastAsia="宋体" w:cs="宋体"/>
                <w:kern w:val="2"/>
                <w:sz w:val="24"/>
                <w:szCs w:val="24"/>
                <w:bdr w:val="none" w:color="auto" w:sz="0" w:space="0"/>
                <w:lang w:val="en-US" w:eastAsia="zh-CN" w:bidi="ar"/>
              </w:rPr>
              <w:t>注：</w:t>
            </w:r>
            <w:r>
              <w:rPr>
                <w:rFonts w:hint="default" w:ascii="Times New Roman" w:hAnsi="Times New Roman" w:eastAsia="宋体" w:cs="Calibri"/>
                <w:kern w:val="2"/>
                <w:sz w:val="24"/>
                <w:szCs w:val="24"/>
                <w:bdr w:val="none" w:color="auto" w:sz="0" w:space="0"/>
                <w:lang w:val="en-US" w:eastAsia="zh-CN" w:bidi="ar"/>
              </w:rPr>
              <w:t>1.</w:t>
            </w:r>
            <w:r>
              <w:rPr>
                <w:rFonts w:hint="eastAsia" w:ascii="宋体" w:hAnsi="宋体" w:eastAsia="宋体" w:cs="宋体"/>
                <w:kern w:val="2"/>
                <w:sz w:val="24"/>
                <w:szCs w:val="24"/>
                <w:bdr w:val="none" w:color="auto" w:sz="0" w:space="0"/>
                <w:lang w:val="en-US" w:eastAsia="zh-CN" w:bidi="ar"/>
              </w:rPr>
              <w:t>统考课程形成性考核比例均为</w:t>
            </w:r>
            <w:r>
              <w:rPr>
                <w:rFonts w:hint="default" w:ascii="Times New Roman" w:hAnsi="Times New Roman" w:eastAsia="宋体" w:cs="Calibri"/>
                <w:kern w:val="2"/>
                <w:sz w:val="24"/>
                <w:szCs w:val="24"/>
                <w:bdr w:val="none" w:color="auto" w:sz="0" w:space="0"/>
                <w:lang w:val="en-US" w:eastAsia="zh-CN" w:bidi="ar"/>
              </w:rPr>
              <w:t>30%</w:t>
            </w:r>
            <w:r>
              <w:rPr>
                <w:rFonts w:hint="eastAsia" w:ascii="宋体" w:hAnsi="宋体" w:eastAsia="宋体" w:cs="宋体"/>
                <w:kern w:val="2"/>
                <w:sz w:val="24"/>
                <w:szCs w:val="24"/>
                <w:bdr w:val="none" w:color="auto" w:sz="0" w:space="0"/>
                <w:lang w:val="en-US" w:eastAsia="zh-CN" w:bidi="ar"/>
              </w:rPr>
              <w:t>；</w:t>
            </w:r>
          </w:p>
          <w:p>
            <w:pPr>
              <w:keepNext w:val="0"/>
              <w:keepLines w:val="0"/>
              <w:widowControl w:val="0"/>
              <w:suppressLineNumbers w:val="0"/>
              <w:spacing w:before="0" w:beforeAutospacing="0" w:after="0" w:afterAutospacing="0"/>
              <w:ind w:left="0" w:right="0" w:firstLine="120" w:firstLineChars="50"/>
              <w:jc w:val="both"/>
              <w:rPr>
                <w:rFonts w:hint="eastAsia" w:ascii="仿宋_GB2312" w:eastAsia="仿宋_GB2312" w:cs="仿宋_GB2312"/>
                <w:sz w:val="32"/>
                <w:szCs w:val="32"/>
                <w:bdr w:val="none" w:color="auto" w:sz="0" w:space="0"/>
                <w:lang w:val="en-US"/>
              </w:rPr>
            </w:pPr>
            <w:r>
              <w:rPr>
                <w:rFonts w:hint="default" w:ascii="Times New Roman" w:hAnsi="Times New Roman" w:eastAsia="宋体" w:cs="Times New Roman"/>
                <w:kern w:val="2"/>
                <w:sz w:val="24"/>
                <w:szCs w:val="24"/>
                <w:bdr w:val="none" w:color="auto" w:sz="0" w:space="0"/>
                <w:lang w:val="en-US" w:eastAsia="zh-CN" w:bidi="ar"/>
              </w:rPr>
              <w:t xml:space="preserve">    2</w:t>
            </w:r>
            <w:r>
              <w:rPr>
                <w:rFonts w:hint="eastAsia" w:ascii="宋体" w:hAnsi="宋体" w:eastAsia="宋体" w:cs="宋体"/>
                <w:kern w:val="2"/>
                <w:sz w:val="24"/>
                <w:szCs w:val="24"/>
                <w:bdr w:val="none" w:color="auto" w:sz="0" w:space="0"/>
                <w:lang w:val="en-US" w:eastAsia="zh-CN" w:bidi="ar"/>
              </w:rPr>
              <w:t>统考课程</w:t>
            </w:r>
            <w:r>
              <w:rPr>
                <w:rFonts w:hint="default" w:ascii="Times New Roman" w:hAnsi="Times New Roman" w:eastAsia="宋体" w:cs="Calibri"/>
                <w:kern w:val="2"/>
                <w:sz w:val="24"/>
                <w:szCs w:val="24"/>
                <w:bdr w:val="none" w:color="auto" w:sz="0" w:space="0"/>
                <w:lang w:val="en-US" w:eastAsia="zh-CN" w:bidi="ar"/>
              </w:rPr>
              <w:t>3</w:t>
            </w:r>
            <w:r>
              <w:rPr>
                <w:rFonts w:hint="eastAsia" w:ascii="宋体" w:hAnsi="宋体" w:eastAsia="宋体" w:cs="宋体"/>
                <w:kern w:val="2"/>
                <w:sz w:val="24"/>
                <w:szCs w:val="24"/>
                <w:bdr w:val="none" w:color="auto" w:sz="0" w:space="0"/>
                <w:lang w:val="en-US" w:eastAsia="zh-CN" w:bidi="ar"/>
              </w:rPr>
              <w:t>、</w:t>
            </w:r>
            <w:r>
              <w:rPr>
                <w:rFonts w:hint="default" w:ascii="Times New Roman" w:hAnsi="Times New Roman" w:eastAsia="宋体" w:cs="Calibri"/>
                <w:kern w:val="2"/>
                <w:sz w:val="24"/>
                <w:szCs w:val="24"/>
                <w:bdr w:val="none" w:color="auto" w:sz="0" w:space="0"/>
                <w:lang w:val="en-US" w:eastAsia="zh-CN" w:bidi="ar"/>
              </w:rPr>
              <w:t>4</w:t>
            </w:r>
            <w:r>
              <w:rPr>
                <w:rFonts w:hint="eastAsia" w:ascii="宋体" w:hAnsi="宋体" w:eastAsia="宋体" w:cs="宋体"/>
                <w:kern w:val="2"/>
                <w:sz w:val="24"/>
                <w:szCs w:val="24"/>
                <w:bdr w:val="none" w:color="auto" w:sz="0" w:space="0"/>
                <w:lang w:val="en-US" w:eastAsia="zh-CN" w:bidi="ar"/>
              </w:rPr>
              <w:t>、</w:t>
            </w:r>
            <w:r>
              <w:rPr>
                <w:rFonts w:hint="default" w:ascii="Times New Roman" w:hAnsi="Times New Roman" w:eastAsia="宋体" w:cs="Calibri"/>
                <w:kern w:val="2"/>
                <w:sz w:val="24"/>
                <w:szCs w:val="24"/>
                <w:bdr w:val="none" w:color="auto" w:sz="0" w:space="0"/>
                <w:lang w:val="en-US" w:eastAsia="zh-CN" w:bidi="ar"/>
              </w:rPr>
              <w:t>5</w:t>
            </w:r>
            <w:r>
              <w:rPr>
                <w:rFonts w:hint="eastAsia" w:ascii="宋体" w:hAnsi="宋体" w:eastAsia="宋体" w:cs="宋体"/>
                <w:kern w:val="2"/>
                <w:sz w:val="24"/>
                <w:szCs w:val="24"/>
                <w:bdr w:val="none" w:color="auto" w:sz="0" w:space="0"/>
                <w:lang w:val="en-US" w:eastAsia="zh-CN" w:bidi="ar"/>
              </w:rPr>
              <w:t>为学位课。</w:t>
            </w:r>
          </w:p>
          <w:p>
            <w:pPr>
              <w:keepNext w:val="0"/>
              <w:keepLines w:val="0"/>
              <w:widowControl w:val="0"/>
              <w:suppressLineNumbers w:val="0"/>
              <w:adjustRightInd w:val="0"/>
              <w:snapToGrid w:val="0"/>
              <w:spacing w:before="0" w:beforeAutospacing="0" w:after="0" w:afterAutospacing="0" w:line="480" w:lineRule="exact"/>
              <w:ind w:left="0" w:right="0"/>
              <w:jc w:val="center"/>
              <w:rPr>
                <w:rFonts w:hint="eastAsia" w:ascii="仿宋_GB2312" w:eastAsia="仿宋_GB2312" w:cs="仿宋_GB2312"/>
                <w:b/>
                <w:sz w:val="36"/>
                <w:szCs w:val="36"/>
                <w:bdr w:val="none" w:color="auto" w:sz="0" w:space="0"/>
                <w:lang w:val="en-US"/>
              </w:rPr>
            </w:pPr>
          </w:p>
        </w:tc>
      </w:tr>
    </w:tbl>
    <w:p>
      <w:pPr>
        <w:keepNext w:val="0"/>
        <w:keepLines w:val="0"/>
        <w:widowControl w:val="0"/>
        <w:suppressLineNumbers w:val="0"/>
        <w:spacing w:before="0" w:beforeAutospacing="0" w:after="0" w:afterAutospacing="0"/>
        <w:ind w:left="0" w:right="0"/>
        <w:jc w:val="left"/>
        <w:rPr>
          <w:rFonts w:hint="eastAsia" w:ascii="黑体" w:hAnsi="宋体" w:eastAsia="黑体" w:cs="黑体"/>
          <w:sz w:val="32"/>
          <w:szCs w:val="32"/>
          <w:lang w:val="en-US"/>
        </w:rPr>
      </w:pPr>
      <w:r>
        <w:rPr>
          <w:rFonts w:hint="eastAsia" w:ascii="方正黑体_GBK" w:hAnsi="方正黑体_GBK" w:eastAsia="方正黑体_GBK" w:cs="方正黑体_GBK"/>
          <w:kern w:val="2"/>
          <w:sz w:val="32"/>
          <w:szCs w:val="32"/>
          <w:lang w:val="en-US" w:eastAsia="zh-CN" w:bidi="ar"/>
        </w:rPr>
        <w:t>附件2</w:t>
      </w:r>
      <w:r>
        <w:rPr>
          <w:rFonts w:hint="eastAsia" w:ascii="黑体" w:hAnsi="宋体" w:eastAsia="黑体" w:cs="黑体"/>
          <w:kern w:val="2"/>
          <w:sz w:val="32"/>
          <w:szCs w:val="32"/>
          <w:lang w:val="en-US" w:eastAsia="zh-CN" w:bidi="ar"/>
        </w:rPr>
        <w:t xml:space="preserve"> </w:t>
      </w:r>
    </w:p>
    <w:p>
      <w:pPr>
        <w:keepNext w:val="0"/>
        <w:keepLines w:val="0"/>
        <w:widowControl/>
        <w:suppressLineNumbers w:val="0"/>
        <w:adjustRightInd w:val="0"/>
        <w:snapToGrid w:val="0"/>
        <w:spacing w:before="0" w:beforeAutospacing="0" w:after="0" w:afterAutospacing="0" w:line="600" w:lineRule="exact"/>
        <w:ind w:left="0" w:right="0"/>
        <w:jc w:val="center"/>
        <w:rPr>
          <w:rFonts w:hint="eastAsia" w:ascii="方正小标宋_GBK" w:hAnsi="方正小标宋_GBK" w:eastAsia="方正小标宋_GBK" w:cs="方正小标宋_GBK"/>
          <w:color w:val="000000"/>
          <w:kern w:val="0"/>
          <w:sz w:val="36"/>
          <w:szCs w:val="36"/>
          <w:lang w:val="en-US"/>
        </w:rPr>
      </w:pPr>
      <w:r>
        <w:rPr>
          <w:rFonts w:hint="eastAsia" w:ascii="方正小标宋_GBK" w:hAnsi="方正小标宋_GBK" w:eastAsia="方正小标宋_GBK" w:cs="方正小标宋_GBK"/>
          <w:color w:val="000000"/>
          <w:kern w:val="0"/>
          <w:sz w:val="36"/>
          <w:szCs w:val="36"/>
          <w:lang w:val="en-US" w:eastAsia="zh-CN" w:bidi="ar"/>
        </w:rPr>
        <w:t>浙江广播电视大学</w:t>
      </w:r>
    </w:p>
    <w:p>
      <w:pPr>
        <w:keepNext w:val="0"/>
        <w:keepLines w:val="0"/>
        <w:widowControl/>
        <w:suppressLineNumbers w:val="0"/>
        <w:adjustRightInd w:val="0"/>
        <w:snapToGrid w:val="0"/>
        <w:spacing w:before="0" w:beforeAutospacing="0" w:after="0" w:afterAutospacing="0" w:line="600" w:lineRule="exact"/>
        <w:ind w:left="0" w:right="0"/>
        <w:jc w:val="center"/>
        <w:rPr>
          <w:rFonts w:hint="eastAsia" w:ascii="方正小标宋_GBK" w:hAnsi="方正小标宋_GBK" w:eastAsia="方正小标宋_GBK" w:cs="方正小标宋_GBK"/>
          <w:color w:val="000000"/>
          <w:kern w:val="0"/>
          <w:sz w:val="36"/>
          <w:szCs w:val="36"/>
          <w:lang w:val="en-US"/>
        </w:rPr>
      </w:pPr>
      <w:r>
        <w:rPr>
          <w:rFonts w:hint="eastAsia" w:ascii="方正小标宋_GBK" w:hAnsi="方正小标宋_GBK" w:eastAsia="方正小标宋_GBK" w:cs="方正小标宋_GBK"/>
          <w:color w:val="000000"/>
          <w:kern w:val="0"/>
          <w:sz w:val="36"/>
          <w:szCs w:val="36"/>
          <w:lang w:val="en-US" w:eastAsia="zh-CN" w:bidi="ar"/>
        </w:rPr>
        <w:t>成人高等本科教育统考课程一览表</w:t>
      </w:r>
    </w:p>
    <w:p>
      <w:pPr>
        <w:rPr>
          <w:rFonts w:hint="eastAsia" w:ascii="方正小标宋_GBK" w:hAnsi="Times New Roman" w:eastAsia="方正小标宋_GBK" w:cs="Times New Roman"/>
          <w:color w:val="000000"/>
          <w:sz w:val="36"/>
          <w:szCs w:val="36"/>
          <w:lang w:val="en-US" w:eastAsia="zh-CN" w:bidi="ar"/>
        </w:rPr>
        <w:sectPr>
          <w:pgSz w:w="16838" w:h="11906" w:orient="landscape"/>
          <w:pgMar w:top="1418" w:right="1418" w:bottom="1418" w:left="1418" w:header="720" w:footer="720" w:gutter="0"/>
          <w:paperSrc/>
          <w:pgNumType w:fmt="numberInDash"/>
          <w:cols w:space="0" w:num="1"/>
          <w:rtlGutter w:val="0"/>
          <w:docGrid w:type="lines" w:linePitch="312" w:charSpace="0"/>
        </w:sectPr>
      </w:pPr>
    </w:p>
    <w:tbl>
      <w:tblPr>
        <w:tblStyle w:val="6"/>
        <w:tblW w:w="9793" w:type="dxa"/>
        <w:tblInd w:w="-192" w:type="dxa"/>
        <w:shd w:val="clear"/>
        <w:tblLayout w:type="fixed"/>
        <w:tblCellMar>
          <w:top w:w="0" w:type="dxa"/>
          <w:left w:w="108" w:type="dxa"/>
          <w:bottom w:w="0" w:type="dxa"/>
          <w:right w:w="108" w:type="dxa"/>
        </w:tblCellMar>
      </w:tblPr>
      <w:tblGrid>
        <w:gridCol w:w="831"/>
        <w:gridCol w:w="1505"/>
        <w:gridCol w:w="2178"/>
        <w:gridCol w:w="1701"/>
        <w:gridCol w:w="1579"/>
        <w:gridCol w:w="1999"/>
      </w:tblGrid>
      <w:tr>
        <w:tblPrEx>
          <w:shd w:val="clear"/>
          <w:tblLayout w:type="fixed"/>
          <w:tblCellMar>
            <w:top w:w="0" w:type="dxa"/>
            <w:left w:w="108" w:type="dxa"/>
            <w:bottom w:w="0" w:type="dxa"/>
            <w:right w:w="108" w:type="dxa"/>
          </w:tblCellMar>
        </w:tblPrEx>
        <w:trPr>
          <w:trHeight w:val="1843" w:hRule="atLeast"/>
        </w:trPr>
        <w:tc>
          <w:tcPr>
            <w:tcW w:w="9798" w:type="dxa"/>
            <w:gridSpan w:val="6"/>
            <w:tcBorders>
              <w:top w:val="nil"/>
              <w:left w:val="nil"/>
              <w:bottom w:val="single" w:color="auto" w:sz="4" w:space="0"/>
              <w:right w:val="nil"/>
            </w:tcBorders>
            <w:shd w:val="clear"/>
            <w:vAlign w:val="center"/>
          </w:tcPr>
          <w:p>
            <w:pPr>
              <w:keepNext w:val="0"/>
              <w:keepLines w:val="0"/>
              <w:widowControl w:val="0"/>
              <w:suppressLineNumbers w:val="0"/>
              <w:adjustRightInd w:val="0"/>
              <w:snapToGrid w:val="0"/>
              <w:spacing w:before="0" w:beforeAutospacing="0" w:after="0" w:afterAutospacing="0" w:line="400" w:lineRule="exact"/>
              <w:ind w:left="0" w:right="0"/>
              <w:jc w:val="left"/>
              <w:rPr>
                <w:rFonts w:hint="eastAsia" w:ascii="方正黑体_GBK" w:hAnsi="方正黑体_GBK" w:eastAsia="方正黑体_GBK" w:cs="方正黑体_GBK"/>
                <w:sz w:val="32"/>
                <w:szCs w:val="32"/>
                <w:bdr w:val="none" w:color="auto" w:sz="0" w:space="0"/>
                <w:lang w:val="en-US"/>
              </w:rPr>
            </w:pPr>
            <w:r>
              <w:rPr>
                <w:rFonts w:hint="eastAsia" w:ascii="方正黑体_GBK" w:hAnsi="方正黑体_GBK" w:eastAsia="方正黑体_GBK" w:cs="方正黑体_GBK"/>
                <w:kern w:val="2"/>
                <w:sz w:val="32"/>
                <w:szCs w:val="32"/>
                <w:bdr w:val="none" w:color="auto" w:sz="0" w:space="0"/>
                <w:lang w:val="en-US" w:eastAsia="zh-CN" w:bidi="ar"/>
              </w:rPr>
              <w:t>附件3</w:t>
            </w:r>
          </w:p>
          <w:p>
            <w:pPr>
              <w:keepNext w:val="0"/>
              <w:keepLines w:val="0"/>
              <w:widowControl w:val="0"/>
              <w:suppressLineNumbers w:val="0"/>
              <w:adjustRightInd w:val="0"/>
              <w:snapToGrid w:val="0"/>
              <w:spacing w:before="0" w:beforeAutospacing="0" w:after="0" w:afterAutospacing="0" w:line="600" w:lineRule="exact"/>
              <w:ind w:left="0" w:right="0"/>
              <w:jc w:val="center"/>
              <w:rPr>
                <w:rFonts w:hint="eastAsia" w:ascii="方正小标宋_GBK" w:hAnsi="方正小标宋_GBK" w:eastAsia="方正小标宋_GBK" w:cs="方正小标宋_GBK"/>
                <w:sz w:val="36"/>
                <w:szCs w:val="36"/>
                <w:bdr w:val="none" w:color="auto" w:sz="0" w:space="0"/>
                <w:lang w:val="en-US"/>
              </w:rPr>
            </w:pPr>
            <w:r>
              <w:rPr>
                <w:rFonts w:hint="eastAsia" w:ascii="方正小标宋_GBK" w:hAnsi="方正小标宋_GBK" w:eastAsia="方正小标宋_GBK" w:cs="方正小标宋_GBK"/>
                <w:color w:val="000000"/>
                <w:kern w:val="0"/>
                <w:sz w:val="36"/>
                <w:szCs w:val="36"/>
                <w:bdr w:val="none" w:color="auto" w:sz="0" w:space="0"/>
                <w:lang w:val="en-US" w:eastAsia="zh-CN" w:bidi="ar"/>
              </w:rPr>
              <w:t>浙江广播电视大学</w:t>
            </w:r>
          </w:p>
          <w:p>
            <w:pPr>
              <w:keepNext w:val="0"/>
              <w:keepLines w:val="0"/>
              <w:widowControl w:val="0"/>
              <w:suppressLineNumbers w:val="0"/>
              <w:adjustRightInd w:val="0"/>
              <w:snapToGrid w:val="0"/>
              <w:spacing w:before="0" w:beforeAutospacing="0" w:after="0" w:afterAutospacing="0" w:line="600" w:lineRule="exact"/>
              <w:ind w:left="0" w:right="0"/>
              <w:jc w:val="center"/>
              <w:rPr>
                <w:rFonts w:hint="eastAsia" w:ascii="方正小标宋_GBK" w:hAnsi="方正小标宋_GBK" w:eastAsia="方正小标宋_GBK" w:cs="方正小标宋_GBK"/>
                <w:color w:val="000000"/>
                <w:kern w:val="0"/>
                <w:sz w:val="36"/>
                <w:szCs w:val="36"/>
                <w:bdr w:val="none" w:color="auto" w:sz="0" w:space="0"/>
                <w:lang w:val="en-US"/>
              </w:rPr>
            </w:pPr>
            <w:r>
              <w:rPr>
                <w:rFonts w:hint="eastAsia" w:ascii="方正小标宋_GBK" w:hAnsi="方正小标宋_GBK" w:eastAsia="方正小标宋_GBK" w:cs="方正小标宋_GBK"/>
                <w:color w:val="000000"/>
                <w:kern w:val="0"/>
                <w:sz w:val="36"/>
                <w:szCs w:val="36"/>
                <w:bdr w:val="none" w:color="auto" w:sz="0" w:space="0"/>
                <w:lang w:val="en-US" w:eastAsia="zh-CN" w:bidi="ar"/>
              </w:rPr>
              <w:t>成人高等专科教育统考课程一览表</w:t>
            </w:r>
          </w:p>
          <w:p>
            <w:pPr>
              <w:keepNext w:val="0"/>
              <w:keepLines w:val="0"/>
              <w:widowControl w:val="0"/>
              <w:suppressLineNumbers w:val="0"/>
              <w:adjustRightInd w:val="0"/>
              <w:snapToGrid w:val="0"/>
              <w:spacing w:before="0" w:beforeAutospacing="0" w:after="0" w:afterAutospacing="0" w:line="400" w:lineRule="exact"/>
              <w:ind w:left="0" w:right="0"/>
              <w:jc w:val="center"/>
              <w:rPr>
                <w:rFonts w:hint="eastAsia" w:ascii="仿宋_GB2312" w:eastAsia="仿宋_GB2312" w:cs="仿宋_GB2312"/>
                <w:sz w:val="32"/>
                <w:szCs w:val="32"/>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832"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400" w:lineRule="exact"/>
              <w:ind w:left="0" w:right="0"/>
              <w:jc w:val="center"/>
              <w:rPr>
                <w:rFonts w:hint="eastAsia" w:ascii="仿宋_GB2312" w:eastAsia="仿宋_GB2312" w:cs="仿宋_GB2312"/>
                <w:b/>
                <w:sz w:val="32"/>
                <w:szCs w:val="32"/>
                <w:bdr w:val="none" w:color="auto" w:sz="0" w:space="0"/>
                <w:lang w:val="en-US"/>
              </w:rPr>
            </w:pPr>
            <w:r>
              <w:rPr>
                <w:rFonts w:hint="eastAsia" w:ascii="仿宋_GB2312" w:hAnsi="Times New Roman" w:eastAsia="仿宋_GB2312" w:cs="仿宋_GB2312"/>
                <w:b/>
                <w:kern w:val="2"/>
                <w:sz w:val="32"/>
                <w:szCs w:val="32"/>
                <w:bdr w:val="none" w:color="auto" w:sz="0" w:space="0"/>
                <w:lang w:val="en-US" w:eastAsia="zh-CN" w:bidi="ar"/>
              </w:rPr>
              <w:t>序号</w:t>
            </w:r>
          </w:p>
        </w:tc>
        <w:tc>
          <w:tcPr>
            <w:tcW w:w="1506"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400" w:lineRule="exact"/>
              <w:ind w:left="0" w:right="0"/>
              <w:jc w:val="center"/>
              <w:rPr>
                <w:rFonts w:hint="eastAsia" w:ascii="仿宋_GB2312" w:eastAsia="仿宋_GB2312" w:cs="仿宋_GB2312"/>
                <w:b/>
                <w:sz w:val="32"/>
                <w:szCs w:val="32"/>
                <w:bdr w:val="none" w:color="auto" w:sz="0" w:space="0"/>
                <w:lang w:val="en-US"/>
              </w:rPr>
            </w:pPr>
            <w:r>
              <w:rPr>
                <w:rFonts w:hint="eastAsia" w:ascii="仿宋_GB2312" w:hAnsi="Times New Roman" w:eastAsia="仿宋_GB2312" w:cs="仿宋_GB2312"/>
                <w:b/>
                <w:kern w:val="2"/>
                <w:sz w:val="32"/>
                <w:szCs w:val="32"/>
                <w:bdr w:val="none" w:color="auto" w:sz="0" w:space="0"/>
                <w:lang w:val="en-US" w:eastAsia="zh-CN" w:bidi="ar"/>
              </w:rPr>
              <w:t>专业名称</w:t>
            </w:r>
          </w:p>
        </w:tc>
        <w:tc>
          <w:tcPr>
            <w:tcW w:w="2179"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400" w:lineRule="exact"/>
              <w:ind w:left="0" w:right="0"/>
              <w:jc w:val="center"/>
              <w:rPr>
                <w:rFonts w:hint="eastAsia" w:ascii="仿宋_GB2312" w:eastAsia="仿宋_GB2312" w:cs="仿宋_GB2312"/>
                <w:b/>
                <w:sz w:val="32"/>
                <w:szCs w:val="32"/>
                <w:bdr w:val="none" w:color="auto" w:sz="0" w:space="0"/>
                <w:lang w:val="en-US"/>
              </w:rPr>
            </w:pPr>
            <w:r>
              <w:rPr>
                <w:rFonts w:hint="eastAsia" w:ascii="仿宋_GB2312" w:hAnsi="Times New Roman" w:eastAsia="仿宋_GB2312" w:cs="仿宋_GB2312"/>
                <w:b/>
                <w:kern w:val="2"/>
                <w:sz w:val="32"/>
                <w:szCs w:val="32"/>
                <w:bdr w:val="none" w:color="auto" w:sz="0" w:space="0"/>
                <w:lang w:val="en-US" w:eastAsia="zh-CN" w:bidi="ar"/>
              </w:rPr>
              <w:t>统考课程1</w:t>
            </w:r>
          </w:p>
        </w:tc>
        <w:tc>
          <w:tcPr>
            <w:tcW w:w="3281" w:type="dxa"/>
            <w:gridSpan w:val="2"/>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400" w:lineRule="exact"/>
              <w:ind w:left="0" w:right="0"/>
              <w:jc w:val="center"/>
              <w:rPr>
                <w:rFonts w:hint="eastAsia" w:ascii="仿宋_GB2312" w:eastAsia="仿宋_GB2312" w:cs="仿宋_GB2312"/>
                <w:b/>
                <w:sz w:val="32"/>
                <w:szCs w:val="32"/>
                <w:bdr w:val="none" w:color="auto" w:sz="0" w:space="0"/>
                <w:lang w:val="en-US"/>
              </w:rPr>
            </w:pPr>
            <w:r>
              <w:rPr>
                <w:rFonts w:hint="eastAsia" w:ascii="仿宋_GB2312" w:hAnsi="Times New Roman" w:eastAsia="仿宋_GB2312" w:cs="仿宋_GB2312"/>
                <w:b/>
                <w:kern w:val="2"/>
                <w:sz w:val="32"/>
                <w:szCs w:val="32"/>
                <w:bdr w:val="none" w:color="auto" w:sz="0" w:space="0"/>
                <w:lang w:val="en-US" w:eastAsia="zh-CN" w:bidi="ar"/>
              </w:rPr>
              <w:t>统考课程2</w:t>
            </w:r>
          </w:p>
        </w:tc>
        <w:tc>
          <w:tcPr>
            <w:tcW w:w="2000" w:type="dxa"/>
            <w:vMerge w:val="restart"/>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400" w:lineRule="exact"/>
              <w:ind w:left="0" w:right="0"/>
              <w:jc w:val="center"/>
              <w:rPr>
                <w:rFonts w:hint="eastAsia" w:ascii="仿宋_GB2312" w:eastAsia="仿宋_GB2312" w:cs="仿宋_GB2312"/>
                <w:b/>
                <w:sz w:val="32"/>
                <w:szCs w:val="32"/>
                <w:bdr w:val="none" w:color="auto" w:sz="0" w:space="0"/>
                <w:lang w:val="en-US"/>
              </w:rPr>
            </w:pPr>
            <w:r>
              <w:rPr>
                <w:rFonts w:hint="eastAsia" w:ascii="仿宋_GB2312" w:hAnsi="Times New Roman" w:eastAsia="仿宋_GB2312" w:cs="仿宋_GB2312"/>
                <w:b/>
                <w:kern w:val="2"/>
                <w:sz w:val="32"/>
                <w:szCs w:val="32"/>
                <w:bdr w:val="none" w:color="auto" w:sz="0" w:space="0"/>
                <w:lang w:val="en-US" w:eastAsia="zh-CN" w:bidi="ar"/>
              </w:rPr>
              <w:t>备注</w:t>
            </w:r>
          </w:p>
        </w:tc>
      </w:tr>
      <w:tr>
        <w:tblPrEx>
          <w:tblLayout w:type="fixed"/>
          <w:tblCellMar>
            <w:top w:w="0" w:type="dxa"/>
            <w:left w:w="108" w:type="dxa"/>
            <w:bottom w:w="0" w:type="dxa"/>
            <w:right w:w="108" w:type="dxa"/>
          </w:tblCellMar>
        </w:tblPrEx>
        <w:trPr>
          <w:trHeight w:val="750" w:hRule="atLeast"/>
        </w:trPr>
        <w:tc>
          <w:tcPr>
            <w:tcW w:w="832" w:type="dxa"/>
            <w:vMerge w:val="continue"/>
            <w:tcBorders>
              <w:top w:val="nil"/>
              <w:left w:val="single" w:color="auto" w:sz="4" w:space="0"/>
              <w:bottom w:val="single" w:color="auto" w:sz="4" w:space="0"/>
              <w:right w:val="single" w:color="auto" w:sz="4" w:space="0"/>
            </w:tcBorders>
            <w:shd w:val="clear"/>
            <w:vAlign w:val="center"/>
          </w:tcPr>
          <w:p>
            <w:pPr>
              <w:rPr>
                <w:rFonts w:hint="default" w:ascii="Calibri" w:hAnsi="Calibri" w:eastAsia="宋体" w:cs="Times New Roman"/>
                <w:kern w:val="2"/>
                <w:sz w:val="21"/>
                <w:szCs w:val="22"/>
              </w:rPr>
            </w:pPr>
          </w:p>
        </w:tc>
        <w:tc>
          <w:tcPr>
            <w:tcW w:w="1506" w:type="dxa"/>
            <w:vMerge w:val="continue"/>
            <w:tcBorders>
              <w:top w:val="single" w:color="auto" w:sz="4" w:space="0"/>
              <w:left w:val="nil"/>
              <w:bottom w:val="single" w:color="auto" w:sz="4" w:space="0"/>
              <w:right w:val="single" w:color="auto" w:sz="4" w:space="0"/>
            </w:tcBorders>
            <w:shd w:val="clear"/>
            <w:vAlign w:val="center"/>
          </w:tcPr>
          <w:p>
            <w:pPr>
              <w:rPr>
                <w:rFonts w:hint="default" w:ascii="Calibri" w:hAnsi="Calibri" w:eastAsia="宋体" w:cs="Times New Roman"/>
                <w:kern w:val="2"/>
                <w:sz w:val="21"/>
                <w:szCs w:val="22"/>
              </w:rPr>
            </w:pPr>
          </w:p>
        </w:tc>
        <w:tc>
          <w:tcPr>
            <w:tcW w:w="2179" w:type="dxa"/>
            <w:vMerge w:val="continue"/>
            <w:tcBorders>
              <w:top w:val="single" w:color="auto" w:sz="4" w:space="0"/>
              <w:left w:val="nil"/>
              <w:bottom w:val="single" w:color="auto" w:sz="4" w:space="0"/>
              <w:right w:val="single" w:color="auto" w:sz="4" w:space="0"/>
            </w:tcBorders>
            <w:shd w:val="clear"/>
            <w:vAlign w:val="center"/>
          </w:tcPr>
          <w:p>
            <w:pPr>
              <w:rPr>
                <w:rFonts w:hint="default" w:ascii="Calibri" w:hAnsi="Calibri" w:eastAsia="宋体" w:cs="Times New Roman"/>
                <w:kern w:val="2"/>
                <w:sz w:val="21"/>
                <w:szCs w:val="22"/>
              </w:rPr>
            </w:pP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400" w:lineRule="exact"/>
              <w:ind w:left="0" w:right="0"/>
              <w:jc w:val="center"/>
              <w:rPr>
                <w:rFonts w:hint="eastAsia" w:ascii="仿宋_GB2312" w:eastAsia="仿宋_GB2312" w:cs="仿宋_GB2312"/>
                <w:b/>
                <w:sz w:val="32"/>
                <w:szCs w:val="32"/>
                <w:bdr w:val="none" w:color="auto" w:sz="0" w:space="0"/>
                <w:lang w:val="en-US"/>
              </w:rPr>
            </w:pPr>
            <w:r>
              <w:rPr>
                <w:rFonts w:hint="eastAsia" w:ascii="仿宋_GB2312" w:hAnsi="Times New Roman" w:eastAsia="仿宋_GB2312" w:cs="仿宋_GB2312"/>
                <w:b/>
                <w:kern w:val="2"/>
                <w:sz w:val="32"/>
                <w:szCs w:val="32"/>
                <w:bdr w:val="none" w:color="auto" w:sz="0" w:space="0"/>
                <w:lang w:val="en-US" w:eastAsia="zh-CN" w:bidi="ar"/>
              </w:rPr>
              <w:t>课程名称</w:t>
            </w: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400" w:lineRule="exact"/>
              <w:ind w:left="0" w:right="0"/>
              <w:jc w:val="center"/>
              <w:rPr>
                <w:rFonts w:hint="eastAsia" w:ascii="仿宋_GB2312" w:eastAsia="仿宋_GB2312" w:cs="仿宋_GB2312"/>
                <w:b/>
                <w:sz w:val="32"/>
                <w:szCs w:val="32"/>
                <w:bdr w:val="none" w:color="auto" w:sz="0" w:space="0"/>
                <w:lang w:val="en-US"/>
              </w:rPr>
            </w:pPr>
            <w:r>
              <w:rPr>
                <w:rFonts w:hint="eastAsia" w:ascii="仿宋_GB2312" w:hAnsi="Times New Roman" w:eastAsia="仿宋_GB2312" w:cs="仿宋_GB2312"/>
                <w:b/>
                <w:kern w:val="2"/>
                <w:sz w:val="32"/>
                <w:szCs w:val="32"/>
                <w:bdr w:val="none" w:color="auto" w:sz="0" w:space="0"/>
                <w:lang w:val="en-US" w:eastAsia="zh-CN" w:bidi="ar"/>
              </w:rPr>
              <w:t>形成性考核比例</w:t>
            </w:r>
          </w:p>
        </w:tc>
        <w:tc>
          <w:tcPr>
            <w:tcW w:w="2000" w:type="dxa"/>
            <w:vMerge w:val="continue"/>
            <w:tcBorders>
              <w:top w:val="single" w:color="auto" w:sz="4" w:space="0"/>
              <w:left w:val="nil"/>
              <w:bottom w:val="single" w:color="auto" w:sz="4" w:space="0"/>
              <w:right w:val="single" w:color="auto" w:sz="4" w:space="0"/>
            </w:tcBorders>
            <w:shd w:val="clear"/>
            <w:vAlign w:val="center"/>
          </w:tcPr>
          <w:p>
            <w:pPr>
              <w:rPr>
                <w:rFonts w:hint="default" w:ascii="Calibri" w:hAnsi="Calibri" w:eastAsia="宋体" w:cs="Times New Roman"/>
                <w:kern w:val="2"/>
                <w:sz w:val="21"/>
                <w:szCs w:val="22"/>
              </w:rPr>
            </w:pP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广告设计与制作</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2</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装潢艺术设计</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3</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商务英语</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4</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学前教育</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共建专业（</w:t>
            </w:r>
            <w:r>
              <w:rPr>
                <w:rFonts w:hint="eastAsia" w:ascii="仿宋_GB2312" w:hAnsi="宋体" w:eastAsia="仿宋_GB2312" w:cs="仿宋_GB2312"/>
                <w:color w:val="000000"/>
                <w:kern w:val="0"/>
                <w:sz w:val="28"/>
                <w:szCs w:val="28"/>
                <w:bdr w:val="none" w:color="auto" w:sz="0" w:space="0"/>
                <w:lang w:val="en-US" w:eastAsia="zh-CN" w:bidi="ar"/>
              </w:rPr>
              <w:t>含特设专业</w:t>
            </w:r>
            <w:r>
              <w:rPr>
                <w:rFonts w:hint="eastAsia" w:ascii="仿宋_GB2312" w:hAnsi="Times New Roman" w:eastAsia="仿宋_GB2312" w:cs="仿宋_GB2312"/>
                <w:kern w:val="2"/>
                <w:sz w:val="28"/>
                <w:szCs w:val="28"/>
                <w:bdr w:val="none" w:color="auto" w:sz="0" w:space="0"/>
                <w:lang w:val="en-US" w:eastAsia="zh-CN" w:bidi="ar"/>
              </w:rPr>
              <w:t>）</w:t>
            </w: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5</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营销与策划</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市场营销学</w:t>
            </w: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30%</w:t>
            </w: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6</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电子商务</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共建专业</w:t>
            </w:r>
            <w:r>
              <w:rPr>
                <w:rFonts w:hint="eastAsia" w:ascii="仿宋_GB2312" w:hAnsi="Times New Roman" w:eastAsia="仿宋_GB2312" w:cs="仿宋_GB2312"/>
                <w:kern w:val="0"/>
                <w:sz w:val="28"/>
                <w:szCs w:val="28"/>
                <w:bdr w:val="none" w:color="auto" w:sz="0" w:space="0"/>
                <w:lang w:val="en-US" w:eastAsia="zh-CN" w:bidi="ar"/>
              </w:rPr>
              <w:t>（</w:t>
            </w:r>
            <w:r>
              <w:rPr>
                <w:rFonts w:hint="eastAsia" w:ascii="仿宋_GB2312" w:hAnsi="宋体" w:eastAsia="仿宋_GB2312" w:cs="仿宋_GB2312"/>
                <w:color w:val="000000"/>
                <w:kern w:val="0"/>
                <w:sz w:val="28"/>
                <w:szCs w:val="28"/>
                <w:bdr w:val="none" w:color="auto" w:sz="0" w:space="0"/>
                <w:lang w:val="en-US" w:eastAsia="zh-CN" w:bidi="ar"/>
              </w:rPr>
              <w:t>含特设专业</w:t>
            </w:r>
            <w:r>
              <w:rPr>
                <w:rFonts w:hint="eastAsia" w:ascii="仿宋_GB2312" w:hAnsi="Times New Roman" w:eastAsia="仿宋_GB2312" w:cs="仿宋_GB2312"/>
                <w:kern w:val="0"/>
                <w:sz w:val="28"/>
                <w:szCs w:val="28"/>
                <w:bdr w:val="none" w:color="auto" w:sz="0" w:space="0"/>
                <w:lang w:val="en-US" w:eastAsia="zh-CN" w:bidi="ar"/>
              </w:rPr>
              <w:t>）</w:t>
            </w: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7</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工商企业管理</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共建专业</w:t>
            </w: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8</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物流管理</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物流学概论</w:t>
            </w: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30%</w:t>
            </w: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740"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9</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会计</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基础会计</w:t>
            </w: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50%</w:t>
            </w: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共建专业</w:t>
            </w:r>
          </w:p>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（含特设专业）</w:t>
            </w: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10</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金融管理与实务</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金融学概论</w:t>
            </w: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30%</w:t>
            </w: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宋体" w:eastAsia="仿宋_GB2312" w:cs="仿宋_GB2312"/>
                <w:color w:val="000000"/>
                <w:kern w:val="0"/>
                <w:sz w:val="28"/>
                <w:szCs w:val="28"/>
                <w:bdr w:val="none" w:color="auto" w:sz="0" w:space="0"/>
                <w:lang w:val="en-US" w:eastAsia="zh-CN" w:bidi="ar"/>
              </w:rPr>
              <w:t>含特设专业</w:t>
            </w: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11</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国际经济与贸易</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国际贸易原理</w:t>
            </w: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20%</w:t>
            </w: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12</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建筑工程技术</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建筑施工技术</w:t>
            </w: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20%</w:t>
            </w: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13</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建筑经济管理</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建筑技术经济与管理</w:t>
            </w: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20%</w:t>
            </w: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1200"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14</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计算机网络技术</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组网与网络管理技术</w:t>
            </w: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100%</w:t>
            </w: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15</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计算机信息管理</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16</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机电一体化技术</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共建专业</w:t>
            </w: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17</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电气自动化技术</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特设专业</w:t>
            </w: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18</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食品药品监督管理</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无机化学</w:t>
            </w: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30%</w:t>
            </w: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19</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动漫设计与制作</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83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20</w:t>
            </w:r>
          </w:p>
        </w:tc>
        <w:tc>
          <w:tcPr>
            <w:tcW w:w="1506"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汽车营销与管理</w:t>
            </w:r>
          </w:p>
        </w:tc>
        <w:tc>
          <w:tcPr>
            <w:tcW w:w="217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r>
              <w:rPr>
                <w:rFonts w:hint="eastAsia" w:ascii="仿宋_GB2312" w:hAnsi="Times New Roman" w:eastAsia="仿宋_GB2312" w:cs="仿宋_GB2312"/>
                <w:kern w:val="2"/>
                <w:sz w:val="28"/>
                <w:szCs w:val="28"/>
                <w:bdr w:val="none" w:color="auto" w:sz="0" w:space="0"/>
                <w:lang w:val="en-US" w:eastAsia="zh-CN" w:bidi="ar"/>
              </w:rPr>
              <w:t>大学信息技术应用基础</w:t>
            </w:r>
          </w:p>
        </w:tc>
        <w:tc>
          <w:tcPr>
            <w:tcW w:w="170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158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eastAsia="仿宋_GB2312" w:cs="仿宋_GB2312"/>
                <w:sz w:val="28"/>
                <w:szCs w:val="28"/>
                <w:bdr w:val="none" w:color="auto" w:sz="0" w:space="0"/>
                <w:lang w:val="en-US"/>
              </w:rPr>
            </w:pPr>
          </w:p>
        </w:tc>
        <w:tc>
          <w:tcPr>
            <w:tcW w:w="20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320" w:lineRule="exact"/>
              <w:ind w:left="0" w:right="0"/>
              <w:jc w:val="center"/>
              <w:rPr>
                <w:rFonts w:hint="eastAsia" w:ascii="仿宋_GB2312" w:hAnsi="宋体" w:eastAsia="仿宋_GB2312" w:cs="仿宋_GB2312"/>
                <w:color w:val="000000"/>
                <w:kern w:val="0"/>
                <w:sz w:val="28"/>
                <w:szCs w:val="28"/>
                <w:bdr w:val="none" w:color="auto" w:sz="0" w:space="0"/>
                <w:lang w:val="en-US"/>
              </w:rPr>
            </w:pPr>
          </w:p>
        </w:tc>
      </w:tr>
      <w:tr>
        <w:tblPrEx>
          <w:tblLayout w:type="fixed"/>
          <w:tblCellMar>
            <w:top w:w="0" w:type="dxa"/>
            <w:left w:w="108" w:type="dxa"/>
            <w:bottom w:w="0" w:type="dxa"/>
            <w:right w:w="108" w:type="dxa"/>
          </w:tblCellMar>
        </w:tblPrEx>
        <w:trPr>
          <w:trHeight w:val="402" w:hRule="atLeast"/>
        </w:trPr>
        <w:tc>
          <w:tcPr>
            <w:tcW w:w="9798" w:type="dxa"/>
            <w:gridSpan w:val="6"/>
            <w:tcBorders>
              <w:top w:val="single" w:color="auto" w:sz="4" w:space="0"/>
              <w:left w:val="nil"/>
              <w:bottom w:val="nil"/>
              <w:right w:val="nil"/>
            </w:tcBorders>
            <w:shd w:val="clear"/>
            <w:vAlign w:val="top"/>
          </w:tcPr>
          <w:p>
            <w:pPr>
              <w:keepNext w:val="0"/>
              <w:keepLines w:val="0"/>
              <w:widowControl w:val="0"/>
              <w:suppressLineNumbers w:val="0"/>
              <w:adjustRightInd w:val="0"/>
              <w:snapToGrid w:val="0"/>
              <w:spacing w:before="0" w:beforeAutospacing="0" w:after="0" w:afterAutospacing="0" w:line="400" w:lineRule="exact"/>
              <w:ind w:left="0" w:right="0"/>
              <w:jc w:val="both"/>
              <w:rPr>
                <w:rFonts w:hint="eastAsia" w:ascii="仿宋_GB2312" w:eastAsia="仿宋_GB2312" w:cs="仿宋_GB2312"/>
                <w:sz w:val="32"/>
                <w:szCs w:val="32"/>
                <w:bdr w:val="none" w:color="auto" w:sz="0" w:space="0"/>
                <w:lang w:val="en-US"/>
              </w:rPr>
            </w:pPr>
            <w:r>
              <w:rPr>
                <w:rFonts w:hint="eastAsia" w:ascii="仿宋_GB2312" w:hAnsi="Times New Roman" w:eastAsia="仿宋_GB2312" w:cs="仿宋_GB2312"/>
                <w:kern w:val="2"/>
                <w:sz w:val="32"/>
                <w:szCs w:val="32"/>
                <w:bdr w:val="none" w:color="auto" w:sz="0" w:space="0"/>
                <w:lang w:val="en-US" w:eastAsia="zh-CN" w:bidi="ar"/>
              </w:rPr>
              <w:t>注：《大学信息技术应用基础》形成性考核比例为50%</w:t>
            </w:r>
          </w:p>
        </w:tc>
      </w:tr>
    </w:tbl>
    <w:p>
      <w:pPr>
        <w:keepNext w:val="0"/>
        <w:keepLines w:val="0"/>
        <w:widowControl w:val="0"/>
        <w:suppressLineNumbers w:val="0"/>
        <w:adjustRightInd w:val="0"/>
        <w:snapToGrid w:val="0"/>
        <w:spacing w:before="0" w:beforeAutospacing="0" w:after="0" w:afterAutospacing="0" w:line="480" w:lineRule="exact"/>
        <w:ind w:left="0" w:right="0"/>
        <w:jc w:val="center"/>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0"/>
          <w:szCs w:val="30"/>
          <w:lang w:val="en-US"/>
        </w:rPr>
      </w:pPr>
      <w:r>
        <w:rPr>
          <w:rFonts w:hint="eastAsia" w:ascii="仿宋_GB2312" w:hAnsi="Times New Roman" w:eastAsia="仿宋_GB2312" w:cs="仿宋_GB2312"/>
          <w:kern w:val="2"/>
          <w:sz w:val="30"/>
          <w:szCs w:val="30"/>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0"/>
          <w:szCs w:val="30"/>
          <w:lang w:val="en-US"/>
        </w:rPr>
      </w:pPr>
      <w:r>
        <w:rPr>
          <w:rFonts w:hint="eastAsia" w:ascii="仿宋_GB2312" w:hAnsi="Times New Roman" w:eastAsia="仿宋_GB2312" w:cs="仿宋_GB2312"/>
          <w:kern w:val="2"/>
          <w:sz w:val="30"/>
          <w:szCs w:val="30"/>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0"/>
          <w:szCs w:val="30"/>
          <w:lang w:val="en-US"/>
        </w:rPr>
      </w:pPr>
      <w:r>
        <w:rPr>
          <w:rFonts w:hint="eastAsia" w:ascii="仿宋_GB2312" w:hAnsi="Times New Roman" w:eastAsia="仿宋_GB2312" w:cs="仿宋_GB2312"/>
          <w:kern w:val="2"/>
          <w:sz w:val="30"/>
          <w:szCs w:val="30"/>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0"/>
          <w:szCs w:val="30"/>
          <w:lang w:val="en-US"/>
        </w:rPr>
      </w:pPr>
      <w:r>
        <w:rPr>
          <w:rFonts w:hint="eastAsia" w:ascii="仿宋_GB2312" w:hAnsi="Times New Roman" w:eastAsia="仿宋_GB2312" w:cs="仿宋_GB2312"/>
          <w:kern w:val="2"/>
          <w:sz w:val="30"/>
          <w:szCs w:val="30"/>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0"/>
          <w:szCs w:val="30"/>
          <w:lang w:val="en-US"/>
        </w:rPr>
      </w:pPr>
      <w:r>
        <w:rPr>
          <w:rFonts w:hint="eastAsia" w:ascii="仿宋_GB2312" w:hAnsi="Times New Roman" w:eastAsia="仿宋_GB2312" w:cs="仿宋_GB2312"/>
          <w:kern w:val="2"/>
          <w:sz w:val="30"/>
          <w:szCs w:val="30"/>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0"/>
          <w:szCs w:val="30"/>
          <w:lang w:val="en-US"/>
        </w:rPr>
      </w:pP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0"/>
          <w:szCs w:val="30"/>
          <w:lang w:val="en-US"/>
        </w:rPr>
      </w:pP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0"/>
          <w:szCs w:val="30"/>
          <w:lang w:val="en-US"/>
        </w:rPr>
      </w:pPr>
    </w:p>
    <w:p>
      <w:pPr>
        <w:keepNext w:val="0"/>
        <w:keepLines w:val="0"/>
        <w:widowControl w:val="0"/>
        <w:suppressLineNumbers w:val="0"/>
        <w:adjustRightInd w:val="0"/>
        <w:snapToGrid w:val="0"/>
        <w:spacing w:before="0" w:beforeAutospacing="0" w:after="0" w:afterAutospacing="0" w:line="480" w:lineRule="exact"/>
        <w:ind w:left="0" w:right="0"/>
        <w:jc w:val="both"/>
        <w:rPr>
          <w:rFonts w:hint="eastAsia" w:ascii="仿宋_GB2312" w:eastAsia="仿宋_GB2312" w:cs="仿宋_GB2312"/>
          <w:sz w:val="30"/>
          <w:szCs w:val="30"/>
          <w:lang w:val="en-US"/>
        </w:rPr>
      </w:pPr>
    </w:p>
    <w:p>
      <w:pPr>
        <w:keepNext w:val="0"/>
        <w:keepLines w:val="0"/>
        <w:widowControl w:val="0"/>
        <w:suppressLineNumbers w:val="0"/>
        <w:pBdr>
          <w:top w:val="single" w:color="auto" w:sz="6" w:space="1"/>
          <w:left w:val="none" w:color="auto" w:sz="0" w:space="0"/>
          <w:bottom w:val="single" w:color="auto" w:sz="6" w:space="1"/>
          <w:right w:val="none" w:color="auto" w:sz="0" w:space="0"/>
        </w:pBdr>
        <w:spacing w:before="0" w:beforeAutospacing="0" w:after="0" w:afterAutospacing="0" w:line="560" w:lineRule="exact"/>
        <w:ind w:left="0" w:right="-2" w:firstLine="150" w:firstLineChars="50"/>
        <w:jc w:val="both"/>
      </w:pPr>
      <w:r>
        <w:rPr>
          <w:rFonts w:hint="eastAsia" w:ascii="仿宋_GB2312" w:hAnsi="Times New Roman" w:eastAsia="仿宋_GB2312" w:cs="仿宋_GB2312"/>
          <w:kern w:val="2"/>
          <w:sz w:val="30"/>
          <w:szCs w:val="30"/>
          <w:bdr w:val="none" w:color="auto" w:sz="0" w:space="0"/>
          <w:lang w:val="en-US" w:eastAsia="zh-CN" w:bidi="ar"/>
        </w:rPr>
        <w:t>浙江广播电视大学校长办公室              2017年3月6日印发</w:t>
      </w:r>
    </w:p>
    <w:p/>
    <w:sectPr>
      <w:pgSz w:w="11906" w:h="16838"/>
      <w:pgMar w:top="1985" w:right="1531" w:bottom="1985" w:left="1531" w:header="851" w:footer="992" w:gutter="0"/>
      <w:paperSrc/>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方正黑体_GBK">
    <w:panose1 w:val="03000509000000000000"/>
    <w:charset w:val="86"/>
    <w:family w:val="auto"/>
    <w:pitch w:val="fixed"/>
    <w:sig w:usb0="00000001" w:usb1="080E0000" w:usb2="00000000" w:usb3="00000000" w:csb0="00040000" w:csb1="00000000"/>
  </w:font>
  <w:font w:name="@黑体">
    <w:panose1 w:val="02010609060101010101"/>
    <w:charset w:val="86"/>
    <w:family w:val="auto"/>
    <w:pitch w:val="fixed"/>
    <w:sig w:usb0="800002BF" w:usb1="38CF7CFA" w:usb2="00000016" w:usb3="00000000" w:csb0="00040001" w:csb1="00000000"/>
  </w:font>
  <w:font w:name="Cambria Math">
    <w:panose1 w:val="02040503050406030204"/>
    <w:charset w:val="00"/>
    <w:family w:val="auto"/>
    <w:pitch w:val="variable"/>
    <w:sig w:usb0="E00002FF" w:usb1="420024FF" w:usb2="00000000" w:usb3="00000000" w:csb0="2000019F" w:csb1="00000000"/>
  </w:font>
  <w:font w:name="仿宋_GB2312">
    <w:panose1 w:val="02010609030101010101"/>
    <w:charset w:val="86"/>
    <w:family w:val="auto"/>
    <w:pitch w:val="fixed"/>
    <w:sig w:usb0="00000001" w:usb1="080E0000" w:usb2="00000000" w:usb3="00000000" w:csb0="00040000" w:csb1="00000000"/>
  </w:font>
  <w:font w:name="华文中宋">
    <w:panose1 w:val="02010600040101010101"/>
    <w:charset w:val="86"/>
    <w:family w:val="auto"/>
    <w:pitch w:val="variable"/>
    <w:sig w:usb0="00000287" w:usb1="080F0000" w:usb2="00000000" w:usb3="00000000" w:csb0="0004009F" w:csb1="DFD70000"/>
  </w:font>
  <w:font w:name="@方正小标宋_GBK">
    <w:panose1 w:val="03000509000000000000"/>
    <w:charset w:val="86"/>
    <w:family w:val="auto"/>
    <w:pitch w:val="fixed"/>
    <w:sig w:usb0="00000001" w:usb1="080E0000" w:usb2="00000000" w:usb3="00000000" w:csb0="00040000" w:csb1="00000000"/>
  </w:font>
  <w:font w:name="方正小标宋_GBK">
    <w:panose1 w:val="03000509000000000000"/>
    <w:charset w:val="86"/>
    <w:family w:val="auto"/>
    <w:pitch w:val="fixed"/>
    <w:sig w:usb0="00000001" w:usb1="080E0000" w:usb2="00000000" w:usb3="00000000" w:csb0="00040000" w:csb1="00000000"/>
  </w:font>
  <w:font w:name="方正小标宋简体">
    <w:altName w:val="Arial Unicode MS"/>
    <w:panose1 w:val="00000000000000000000"/>
    <w:charset w:val="86"/>
    <w:family w:val="auto"/>
    <w:pitch w:val="fixed"/>
    <w:sig w:usb0="00000000" w:usb1="080E0000" w:usb2="00000010" w:usb3="00000000" w:csb0="00040000" w:csb1="00000000"/>
  </w:font>
  <w:font w:name="@方正小标宋简体">
    <w:altName w:val="宋体"/>
    <w:panose1 w:val="00000000000000000000"/>
    <w:charset w:val="86"/>
    <w:family w:val="auto"/>
    <w:pitch w:val="fixed"/>
    <w:sig w:usb0="00000000" w:usb1="080E0000" w:usb2="00000010" w:usb3="00000000" w:csb0="00040000" w:csb1="00000000"/>
  </w:font>
  <w:font w:name="@方正黑体_GBK">
    <w:panose1 w:val="03000509000000000000"/>
    <w:charset w:val="86"/>
    <w:family w:val="auto"/>
    <w:pitch w:val="fixed"/>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 w:name="@华文中宋">
    <w:panose1 w:val="02010600040101010101"/>
    <w:charset w:val="86"/>
    <w:family w:val="auto"/>
    <w:pitch w:val="variable"/>
    <w:sig w:usb0="00000287" w:usb1="080F0000" w:usb2="00000000" w:usb3="00000000" w:csb0="0004009F" w:csb1="DFD70000"/>
  </w:font>
  <w:font w:name="@仿宋_GB2312">
    <w:panose1 w:val="02010609030101010101"/>
    <w:charset w:val="86"/>
    <w:family w:val="auto"/>
    <w:pitch w:val="fixed"/>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中倩_GBK">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EC3759"/>
    <w:rsid w:val="01EC3759"/>
    <w:rsid w:val="45C3545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2">
    <w:name w:val="Body Text Indent 2"/>
    <w:basedOn w:val="1"/>
    <w:link w:val="8"/>
    <w:uiPriority w:val="0"/>
    <w:pPr>
      <w:keepNext w:val="0"/>
      <w:keepLines w:val="0"/>
      <w:widowControl w:val="0"/>
      <w:suppressLineNumbers w:val="0"/>
      <w:autoSpaceDE w:val="0"/>
      <w:autoSpaceDN w:val="0"/>
      <w:adjustRightInd w:val="0"/>
      <w:spacing w:before="0" w:beforeAutospacing="0" w:after="0" w:afterAutospacing="0" w:line="240" w:lineRule="atLeast"/>
      <w:ind w:left="0" w:right="0" w:firstLine="480" w:firstLineChars="200"/>
      <w:jc w:val="left"/>
    </w:pPr>
    <w:rPr>
      <w:rFonts w:hint="eastAsia" w:ascii="宋体" w:hAnsi="Calibri" w:eastAsia="宋体" w:cs="宋体"/>
      <w:kern w:val="0"/>
      <w:sz w:val="24"/>
      <w:szCs w:val="24"/>
      <w:lang w:val="en-US" w:eastAsia="zh-CN" w:bidi="ar"/>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正文文本缩进 2 Char"/>
    <w:basedOn w:val="5"/>
    <w:link w:val="2"/>
    <w:uiPriority w:val="0"/>
    <w:rPr>
      <w:rFonts w:hint="eastAsia" w:ascii="宋体" w:hAnsi="宋体" w:eastAsia="宋体" w:cs="宋体"/>
      <w:sz w:val="24"/>
      <w:szCs w:val="24"/>
      <w:lang w:val="zh-CN"/>
    </w:rPr>
  </w:style>
  <w:style w:type="character" w:customStyle="1" w:styleId="8">
    <w:name w:val="正文文本缩进 2 Char1"/>
    <w:basedOn w:val="5"/>
    <w:link w:val="2"/>
    <w:uiPriority w:val="0"/>
    <w:rPr>
      <w:rFonts w:hint="default" w:ascii="Times New Roman" w:hAnsi="Times New Roman"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2017-03-07T00:44:00Z</dcterms:created>
  <dc:creator>Administrator</dc:creator>
  <cp:lastModifiedBy>Administrator</cp:lastModifiedBy>
  <dcterms:modified xsi:type="dcterms:W3CDTF">2017-03-07T00:45:31Z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