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4609" w:rsidRPr="008B5191" w:rsidRDefault="008B5191" w:rsidP="008B5191">
      <w:pPr>
        <w:spacing w:line="360" w:lineRule="auto"/>
        <w:jc w:val="center"/>
        <w:rPr>
          <w:rFonts w:ascii="宋体" w:hAnsi="宋体"/>
          <w:b/>
          <w:sz w:val="44"/>
          <w:szCs w:val="44"/>
        </w:rPr>
      </w:pPr>
      <w:r w:rsidRPr="008B5191">
        <w:rPr>
          <w:rFonts w:ascii="宋体" w:hAnsi="宋体" w:hint="eastAsia"/>
          <w:b/>
          <w:sz w:val="44"/>
          <w:szCs w:val="44"/>
        </w:rPr>
        <w:t>台州电大</w:t>
      </w:r>
      <w:r w:rsidR="002C14FC">
        <w:rPr>
          <w:rFonts w:ascii="宋体" w:hAnsi="宋体" w:hint="eastAsia"/>
          <w:b/>
          <w:sz w:val="44"/>
          <w:szCs w:val="44"/>
        </w:rPr>
        <w:t>成人脱产</w:t>
      </w:r>
      <w:r w:rsidRPr="008B5191">
        <w:rPr>
          <w:rFonts w:ascii="宋体" w:hAnsi="宋体" w:hint="eastAsia"/>
          <w:b/>
          <w:sz w:val="44"/>
          <w:szCs w:val="44"/>
        </w:rPr>
        <w:t>毕业生就业质量报告</w:t>
      </w:r>
    </w:p>
    <w:p w:rsidR="008B5191" w:rsidRPr="008B5191" w:rsidRDefault="008B5191" w:rsidP="008B5191">
      <w:pPr>
        <w:spacing w:line="360" w:lineRule="auto"/>
        <w:jc w:val="center"/>
        <w:rPr>
          <w:rFonts w:ascii="宋体" w:hAnsi="宋体"/>
          <w:sz w:val="24"/>
        </w:rPr>
      </w:pPr>
    </w:p>
    <w:p w:rsidR="008B5191" w:rsidRPr="008B5191" w:rsidRDefault="002C14FC" w:rsidP="008B5191">
      <w:pPr>
        <w:pStyle w:val="a3"/>
        <w:numPr>
          <w:ilvl w:val="0"/>
          <w:numId w:val="1"/>
        </w:numPr>
        <w:spacing w:line="360" w:lineRule="auto"/>
        <w:ind w:firstLineChars="0"/>
        <w:rPr>
          <w:rFonts w:ascii="宋体" w:hAnsi="宋体"/>
          <w:sz w:val="24"/>
        </w:rPr>
      </w:pPr>
      <w:r>
        <w:rPr>
          <w:rFonts w:ascii="宋体" w:hAnsi="宋体" w:hint="eastAsia"/>
          <w:sz w:val="24"/>
        </w:rPr>
        <w:t>成人脱产</w:t>
      </w:r>
      <w:r w:rsidR="008B5191" w:rsidRPr="008B5191">
        <w:rPr>
          <w:rFonts w:ascii="宋体" w:hAnsi="宋体" w:hint="eastAsia"/>
          <w:sz w:val="24"/>
        </w:rPr>
        <w:t>毕业生就业基本情况及工作举措</w:t>
      </w:r>
    </w:p>
    <w:p w:rsidR="008B5191" w:rsidRPr="008B5191" w:rsidRDefault="008B5191" w:rsidP="008B5191">
      <w:pPr>
        <w:pStyle w:val="a3"/>
        <w:spacing w:line="360" w:lineRule="auto"/>
        <w:ind w:left="420" w:firstLine="480"/>
        <w:rPr>
          <w:rFonts w:ascii="宋体" w:hAnsi="宋体"/>
          <w:sz w:val="24"/>
        </w:rPr>
      </w:pPr>
      <w:r w:rsidRPr="008B5191">
        <w:rPr>
          <w:rFonts w:ascii="宋体" w:hAnsi="宋体" w:hint="eastAsia"/>
          <w:sz w:val="24"/>
        </w:rPr>
        <w:t>通过对2015届</w:t>
      </w:r>
      <w:r w:rsidR="002C14FC">
        <w:rPr>
          <w:rFonts w:ascii="宋体" w:hAnsi="宋体" w:hint="eastAsia"/>
          <w:sz w:val="24"/>
        </w:rPr>
        <w:t>成人脱产学生</w:t>
      </w:r>
      <w:r w:rsidRPr="008B5191">
        <w:rPr>
          <w:rFonts w:ascii="宋体" w:hAnsi="宋体" w:hint="eastAsia"/>
          <w:sz w:val="24"/>
        </w:rPr>
        <w:t>初次就业情况统计数据和大学生毕业就业状况调查数据的统计结果进行分析总结，可以得出以下结论：</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毕业生初次就业率</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2015届269名毕业生，共有220名毕业生已落实就业，总体初次就业率为81.78%。</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毕业生对落实工作满意度较高，就业质量较好</w:t>
      </w:r>
    </w:p>
    <w:p w:rsidR="008B5191" w:rsidRPr="008B5191" w:rsidRDefault="008B5191" w:rsidP="008B5191">
      <w:pPr>
        <w:pStyle w:val="a3"/>
        <w:spacing w:line="360" w:lineRule="auto"/>
        <w:ind w:left="780" w:firstLine="480"/>
        <w:rPr>
          <w:rFonts w:ascii="宋体" w:hAnsi="宋体"/>
          <w:sz w:val="24"/>
        </w:rPr>
      </w:pPr>
      <w:r w:rsidRPr="008B5191">
        <w:rPr>
          <w:rFonts w:ascii="宋体" w:hAnsi="宋体" w:hint="eastAsia"/>
          <w:sz w:val="24"/>
        </w:rPr>
        <w:t>毕业生在评价自己的客观就业质量时，重要性最高的因素是职业发展预期，其次是为工作报酬、劳动关系和工作环境。对于主观就业质量，受访毕业生则认为重要性最高的是工作氛围，其次是为工作能力是否胜任工作和职业期待吻合度。</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从就业地域来看，主要是台州市各县、市、区，少数毕业生在杭州、宁波等就业。</w:t>
      </w:r>
    </w:p>
    <w:p w:rsidR="008B5191" w:rsidRPr="008B5191" w:rsidRDefault="008B5191" w:rsidP="008B5191">
      <w:pPr>
        <w:pStyle w:val="a3"/>
        <w:spacing w:line="360" w:lineRule="auto"/>
        <w:ind w:left="780" w:firstLineChars="0"/>
        <w:rPr>
          <w:rFonts w:ascii="宋体" w:hAnsi="宋体"/>
          <w:sz w:val="24"/>
        </w:rPr>
      </w:pPr>
      <w:r w:rsidRPr="008B5191">
        <w:rPr>
          <w:rFonts w:ascii="宋体" w:hAnsi="宋体" w:hint="eastAsia"/>
          <w:sz w:val="24"/>
        </w:rPr>
        <w:t>从单位类型来看，主要是民营企业。毕业生落实工作主是四大行业，分别是制造业、电子商务类、教育类、金融类。</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现场招聘会是毕业生求职的主要渠道</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比例最高的三个途径依次为校园现场招聘会、求职招聘网站、直接向单位申请。</w:t>
      </w:r>
    </w:p>
    <w:p w:rsidR="008B5191" w:rsidRPr="008B5191" w:rsidRDefault="008B5191" w:rsidP="008B5191">
      <w:pPr>
        <w:pStyle w:val="a3"/>
        <w:numPr>
          <w:ilvl w:val="0"/>
          <w:numId w:val="2"/>
        </w:numPr>
        <w:spacing w:line="360" w:lineRule="auto"/>
        <w:ind w:firstLineChars="0"/>
        <w:rPr>
          <w:rFonts w:ascii="宋体" w:hAnsi="宋体"/>
          <w:sz w:val="24"/>
        </w:rPr>
      </w:pPr>
      <w:r w:rsidRPr="008B5191">
        <w:rPr>
          <w:rFonts w:ascii="宋体" w:hAnsi="宋体" w:hint="eastAsia"/>
          <w:sz w:val="24"/>
        </w:rPr>
        <w:t>毕业生就业工作举措</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（1）、向重点领域输送毕业生</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w:t>
      </w:r>
      <w:r w:rsidR="002C14FC">
        <w:rPr>
          <w:rFonts w:ascii="宋体" w:hAnsi="宋体" w:hint="eastAsia"/>
          <w:sz w:val="24"/>
        </w:rPr>
        <w:t>学校</w:t>
      </w:r>
      <w:r w:rsidRPr="008B5191">
        <w:rPr>
          <w:rFonts w:ascii="宋体" w:hAnsi="宋体" w:hint="eastAsia"/>
          <w:sz w:val="24"/>
        </w:rPr>
        <w:t>鼓励毕业生多渠道、多形式就业，积极向重点行业输送毕业生。我院组织各行业专场招聘进班招聘等措施加强毕业生就业</w:t>
      </w:r>
      <w:r w:rsidR="000B2622">
        <w:rPr>
          <w:rFonts w:ascii="宋体" w:hAnsi="宋体" w:hint="eastAsia"/>
          <w:sz w:val="24"/>
        </w:rPr>
        <w:t>。</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（2）、提高就业指导水平，提升就业服务能力</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为了提升就业工作老师的就业指导和就业服务水平，更好地为广大毕业生提供专业的就业创业指导服务，相关就业老师参加就业创业培训讲师培训，对学生开设职业生涯规划课程。邀请企业高管来校开展就业讲座及就业指导老师进行专题培训。</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（3）对就业困难毕业生开展精准帮扶</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我院要求了解每一位毕业生去向，对就业困难群体重点推荐、就业辅导等措施提升就业成功率。</w:t>
      </w:r>
      <w:bookmarkStart w:id="0" w:name="_GoBack"/>
      <w:bookmarkEnd w:id="0"/>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（4）拓展就业信息发布渠道</w:t>
      </w:r>
    </w:p>
    <w:p w:rsidR="008B5191" w:rsidRPr="008B5191" w:rsidRDefault="008B5191" w:rsidP="008B5191">
      <w:pPr>
        <w:pStyle w:val="a3"/>
        <w:spacing w:line="360" w:lineRule="auto"/>
        <w:ind w:left="780" w:firstLineChars="0" w:firstLine="0"/>
        <w:rPr>
          <w:rFonts w:ascii="宋体" w:hAnsi="宋体"/>
          <w:sz w:val="24"/>
        </w:rPr>
      </w:pPr>
      <w:r w:rsidRPr="008B5191">
        <w:rPr>
          <w:rFonts w:ascii="宋体" w:hAnsi="宋体" w:hint="eastAsia"/>
          <w:sz w:val="24"/>
        </w:rPr>
        <w:t xml:space="preserve"> 拓展就业信息发布渠道，在传统的网站、QQ群、短信平台等基础上，不断</w:t>
      </w:r>
      <w:proofErr w:type="gramStart"/>
      <w:r w:rsidRPr="008B5191">
        <w:rPr>
          <w:rFonts w:ascii="宋体" w:hAnsi="宋体" w:hint="eastAsia"/>
          <w:sz w:val="24"/>
        </w:rPr>
        <w:t>完善微信平</w:t>
      </w:r>
      <w:r w:rsidRPr="008B5191">
        <w:rPr>
          <w:rFonts w:ascii="宋体" w:hAnsi="宋体" w:hint="eastAsia"/>
          <w:sz w:val="24"/>
        </w:rPr>
        <w:lastRenderedPageBreak/>
        <w:t>台</w:t>
      </w:r>
      <w:proofErr w:type="gramEnd"/>
      <w:r w:rsidRPr="008B5191">
        <w:rPr>
          <w:rFonts w:ascii="宋体" w:hAnsi="宋体" w:hint="eastAsia"/>
          <w:sz w:val="24"/>
        </w:rPr>
        <w:t>，发布招聘信息的同时也提供相关就业创业指导服务。</w:t>
      </w:r>
    </w:p>
    <w:p w:rsidR="008B5191" w:rsidRPr="008B5191" w:rsidRDefault="008B5191" w:rsidP="008B5191">
      <w:pPr>
        <w:pStyle w:val="a3"/>
        <w:numPr>
          <w:ilvl w:val="0"/>
          <w:numId w:val="1"/>
        </w:numPr>
        <w:spacing w:line="360" w:lineRule="auto"/>
        <w:ind w:firstLineChars="0"/>
        <w:rPr>
          <w:rFonts w:ascii="宋体" w:hAnsi="宋体"/>
          <w:sz w:val="24"/>
        </w:rPr>
      </w:pPr>
      <w:r w:rsidRPr="008B5191">
        <w:rPr>
          <w:rFonts w:ascii="宋体" w:hAnsi="宋体" w:hint="eastAsia"/>
          <w:sz w:val="24"/>
        </w:rPr>
        <w:t>毕业生相关情况及就业率</w:t>
      </w:r>
    </w:p>
    <w:p w:rsidR="008B5191" w:rsidRDefault="008B5191" w:rsidP="008B5191">
      <w:pPr>
        <w:pStyle w:val="a3"/>
        <w:numPr>
          <w:ilvl w:val="0"/>
          <w:numId w:val="3"/>
        </w:numPr>
        <w:spacing w:line="360" w:lineRule="auto"/>
        <w:ind w:firstLineChars="0"/>
        <w:rPr>
          <w:rFonts w:ascii="宋体" w:hAnsi="宋体"/>
          <w:sz w:val="24"/>
        </w:rPr>
      </w:pPr>
      <w:r>
        <w:rPr>
          <w:rFonts w:ascii="宋体" w:hAnsi="宋体" w:hint="eastAsia"/>
          <w:sz w:val="24"/>
        </w:rPr>
        <w:t>就业率</w:t>
      </w:r>
    </w:p>
    <w:p w:rsidR="008B5191" w:rsidRPr="008B5191" w:rsidRDefault="008B5191" w:rsidP="008B5191">
      <w:pPr>
        <w:spacing w:line="360" w:lineRule="auto"/>
        <w:ind w:left="420"/>
        <w:rPr>
          <w:rFonts w:ascii="宋体" w:hAnsi="宋体"/>
          <w:sz w:val="24"/>
        </w:rPr>
      </w:pPr>
      <w:r w:rsidRPr="008B5191">
        <w:rPr>
          <w:rFonts w:ascii="宋体" w:hAnsi="宋体" w:hint="eastAsia"/>
          <w:sz w:val="24"/>
        </w:rPr>
        <w:t>2015届269名毕业生，共有220名毕业生已落实就业，总体初次就业率为81.78%。</w:t>
      </w:r>
    </w:p>
    <w:tbl>
      <w:tblPr>
        <w:tblStyle w:val="a4"/>
        <w:tblW w:w="0" w:type="auto"/>
        <w:jc w:val="center"/>
        <w:tblInd w:w="683" w:type="dxa"/>
        <w:tblLook w:val="04A0" w:firstRow="1" w:lastRow="0" w:firstColumn="1" w:lastColumn="0" w:noHBand="0" w:noVBand="1"/>
      </w:tblPr>
      <w:tblGrid>
        <w:gridCol w:w="2102"/>
        <w:gridCol w:w="2090"/>
        <w:gridCol w:w="2090"/>
        <w:gridCol w:w="2125"/>
      </w:tblGrid>
      <w:tr w:rsidR="008B5191" w:rsidTr="008B5191">
        <w:trPr>
          <w:trHeight w:val="458"/>
          <w:jc w:val="center"/>
        </w:trPr>
        <w:tc>
          <w:tcPr>
            <w:tcW w:w="2102"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年度</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毕业生人数</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就业人数</w:t>
            </w:r>
          </w:p>
        </w:tc>
        <w:tc>
          <w:tcPr>
            <w:tcW w:w="2125"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就业率</w:t>
            </w:r>
          </w:p>
        </w:tc>
      </w:tr>
      <w:tr w:rsidR="008B5191" w:rsidTr="008B5191">
        <w:trPr>
          <w:trHeight w:val="458"/>
          <w:jc w:val="center"/>
        </w:trPr>
        <w:tc>
          <w:tcPr>
            <w:tcW w:w="2102"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2015届</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269</w:t>
            </w:r>
          </w:p>
        </w:tc>
        <w:tc>
          <w:tcPr>
            <w:tcW w:w="2090"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220</w:t>
            </w:r>
          </w:p>
        </w:tc>
        <w:tc>
          <w:tcPr>
            <w:tcW w:w="2125" w:type="dxa"/>
          </w:tcPr>
          <w:p w:rsidR="008B5191" w:rsidRDefault="008B5191" w:rsidP="008B5191">
            <w:pPr>
              <w:pStyle w:val="a3"/>
              <w:spacing w:line="360" w:lineRule="auto"/>
              <w:ind w:firstLineChars="0" w:firstLine="0"/>
              <w:rPr>
                <w:rFonts w:ascii="宋体" w:hAnsi="宋体"/>
                <w:sz w:val="24"/>
              </w:rPr>
            </w:pPr>
            <w:r>
              <w:rPr>
                <w:rFonts w:ascii="宋体" w:hAnsi="宋体" w:hint="eastAsia"/>
                <w:sz w:val="24"/>
              </w:rPr>
              <w:t>81.78%</w:t>
            </w:r>
          </w:p>
        </w:tc>
      </w:tr>
    </w:tbl>
    <w:p w:rsidR="008B5191" w:rsidRPr="008B5191" w:rsidRDefault="000B2622" w:rsidP="008B5191">
      <w:pPr>
        <w:pStyle w:val="a3"/>
        <w:numPr>
          <w:ilvl w:val="0"/>
          <w:numId w:val="3"/>
        </w:numPr>
        <w:spacing w:line="360" w:lineRule="auto"/>
        <w:ind w:firstLineChars="0"/>
        <w:rPr>
          <w:rFonts w:ascii="宋体" w:hAnsi="宋体"/>
          <w:sz w:val="24"/>
        </w:rPr>
      </w:pPr>
      <w:r>
        <w:rPr>
          <w:rFonts w:ascii="宋体" w:hAnsi="宋体" w:hint="eastAsia"/>
          <w:sz w:val="24"/>
        </w:rPr>
        <w:t>毕业生系</w:t>
      </w:r>
      <w:r w:rsidR="008B5191" w:rsidRPr="008B5191">
        <w:rPr>
          <w:rFonts w:ascii="宋体" w:hAnsi="宋体" w:hint="eastAsia"/>
          <w:sz w:val="24"/>
        </w:rPr>
        <w:t>分布情况</w:t>
      </w:r>
      <w:r w:rsidR="008B5191">
        <w:rPr>
          <w:rFonts w:ascii="宋体" w:hAnsi="宋体" w:hint="eastAsia"/>
          <w:sz w:val="24"/>
        </w:rPr>
        <w:t>及就业率</w:t>
      </w:r>
    </w:p>
    <w:p w:rsidR="008B5191" w:rsidRDefault="008B5191" w:rsidP="008B5191">
      <w:pPr>
        <w:pStyle w:val="a3"/>
        <w:spacing w:line="360" w:lineRule="auto"/>
        <w:ind w:left="780" w:firstLineChars="0" w:firstLine="0"/>
        <w:jc w:val="left"/>
        <w:rPr>
          <w:rFonts w:ascii="宋体" w:hAnsi="宋体"/>
          <w:sz w:val="24"/>
        </w:rPr>
      </w:pPr>
      <w:r>
        <w:rPr>
          <w:noProof/>
        </w:rPr>
        <w:drawing>
          <wp:inline distT="0" distB="0" distL="0" distR="0" wp14:anchorId="6277A37C" wp14:editId="62502ED2">
            <wp:extent cx="5048250" cy="2867025"/>
            <wp:effectExtent l="0" t="0" r="19050" b="9525"/>
            <wp:docPr id="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8B5191" w:rsidRDefault="008B5191" w:rsidP="008B5191">
      <w:pPr>
        <w:pStyle w:val="a3"/>
        <w:spacing w:line="360" w:lineRule="auto"/>
        <w:ind w:left="780" w:firstLineChars="0" w:firstLine="0"/>
        <w:rPr>
          <w:rFonts w:ascii="宋体" w:hAnsi="宋体"/>
          <w:sz w:val="24"/>
        </w:rPr>
      </w:pPr>
      <w:r>
        <w:rPr>
          <w:noProof/>
        </w:rPr>
        <w:drawing>
          <wp:inline distT="0" distB="0" distL="0" distR="0" wp14:anchorId="0309A5BF" wp14:editId="3692748A">
            <wp:extent cx="5048250" cy="3238500"/>
            <wp:effectExtent l="0" t="0" r="19050" b="19050"/>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8B5191" w:rsidRDefault="008B5191" w:rsidP="008B5191">
      <w:pPr>
        <w:pStyle w:val="a3"/>
        <w:numPr>
          <w:ilvl w:val="0"/>
          <w:numId w:val="3"/>
        </w:numPr>
        <w:spacing w:line="360" w:lineRule="auto"/>
        <w:ind w:firstLineChars="0"/>
        <w:rPr>
          <w:rFonts w:ascii="宋体" w:hAnsi="宋体"/>
          <w:sz w:val="24"/>
        </w:rPr>
      </w:pPr>
      <w:r>
        <w:rPr>
          <w:rFonts w:ascii="宋体" w:hAnsi="宋体" w:hint="eastAsia"/>
          <w:sz w:val="24"/>
        </w:rPr>
        <w:t>毕业生专业就业率统计</w:t>
      </w:r>
    </w:p>
    <w:tbl>
      <w:tblPr>
        <w:tblpPr w:leftFromText="180" w:rightFromText="180" w:vertAnchor="text" w:horzAnchor="margin" w:tblpXSpec="center" w:tblpY="287"/>
        <w:tblW w:w="7498" w:type="dxa"/>
        <w:tblLook w:val="04A0" w:firstRow="1" w:lastRow="0" w:firstColumn="1" w:lastColumn="0" w:noHBand="0" w:noVBand="1"/>
      </w:tblPr>
      <w:tblGrid>
        <w:gridCol w:w="1353"/>
        <w:gridCol w:w="1353"/>
        <w:gridCol w:w="1353"/>
        <w:gridCol w:w="2081"/>
        <w:gridCol w:w="1358"/>
      </w:tblGrid>
      <w:tr w:rsidR="008B5191" w:rsidRPr="007B4115" w:rsidTr="008B5191">
        <w:trPr>
          <w:trHeight w:val="340"/>
        </w:trPr>
        <w:tc>
          <w:tcPr>
            <w:tcW w:w="7498"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B5191" w:rsidRPr="007B4115" w:rsidRDefault="008B5191" w:rsidP="008B5191">
            <w:pPr>
              <w:widowControl/>
              <w:jc w:val="center"/>
              <w:rPr>
                <w:rFonts w:ascii="宋体" w:hAnsi="宋体" w:cs="宋体"/>
                <w:color w:val="000000"/>
                <w:kern w:val="0"/>
                <w:sz w:val="24"/>
              </w:rPr>
            </w:pPr>
            <w:r>
              <w:rPr>
                <w:rFonts w:ascii="宋体" w:hAnsi="宋体" w:cs="宋体" w:hint="eastAsia"/>
                <w:color w:val="000000"/>
                <w:kern w:val="0"/>
                <w:sz w:val="24"/>
              </w:rPr>
              <w:lastRenderedPageBreak/>
              <w:t>2015届</w:t>
            </w:r>
            <w:r w:rsidRPr="007B4115">
              <w:rPr>
                <w:rFonts w:ascii="宋体" w:hAnsi="宋体" w:cs="宋体" w:hint="eastAsia"/>
                <w:color w:val="000000"/>
                <w:kern w:val="0"/>
                <w:sz w:val="24"/>
              </w:rPr>
              <w:t>毕业生专业就业率</w:t>
            </w:r>
          </w:p>
        </w:tc>
      </w:tr>
      <w:tr w:rsidR="008B5191" w:rsidRPr="007B4115" w:rsidTr="008B5191">
        <w:trPr>
          <w:trHeight w:val="359"/>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专业</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毕业生</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就业人数</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专业就业率</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备注</w:t>
            </w: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会计</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85</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70</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82.35%</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电子商务</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14</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11</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78.57%</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市场营销</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20</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17</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85.00%</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学前教育</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38</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32</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84.21%</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工商</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11</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9</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81.82%</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计算机</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17</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13</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76.47%</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建筑</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40</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32</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80.00%</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机电</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29</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24</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82.76%</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广告</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15</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12</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80.00%</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r w:rsidR="008B5191" w:rsidRPr="007B4115" w:rsidTr="008B5191">
        <w:trPr>
          <w:trHeight w:val="377"/>
        </w:trPr>
        <w:tc>
          <w:tcPr>
            <w:tcW w:w="1353" w:type="dxa"/>
            <w:tcBorders>
              <w:top w:val="nil"/>
              <w:left w:val="single" w:sz="4" w:space="0" w:color="auto"/>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宋体"/>
                <w:color w:val="000000"/>
                <w:kern w:val="0"/>
                <w:sz w:val="24"/>
              </w:rPr>
            </w:pPr>
            <w:r w:rsidRPr="007B4115">
              <w:rPr>
                <w:rFonts w:ascii="宋体" w:hAnsi="宋体" w:cs="宋体" w:hint="eastAsia"/>
                <w:color w:val="000000"/>
                <w:kern w:val="0"/>
                <w:sz w:val="24"/>
              </w:rPr>
              <w:t>小计</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269</w:t>
            </w:r>
          </w:p>
        </w:tc>
        <w:tc>
          <w:tcPr>
            <w:tcW w:w="1353"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220</w:t>
            </w:r>
          </w:p>
        </w:tc>
        <w:tc>
          <w:tcPr>
            <w:tcW w:w="2081"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r w:rsidRPr="007B4115">
              <w:rPr>
                <w:rFonts w:ascii="宋体" w:hAnsi="宋体" w:cs="Arial"/>
                <w:color w:val="000000"/>
                <w:kern w:val="0"/>
                <w:sz w:val="24"/>
              </w:rPr>
              <w:t>81.78%</w:t>
            </w:r>
          </w:p>
        </w:tc>
        <w:tc>
          <w:tcPr>
            <w:tcW w:w="1358" w:type="dxa"/>
            <w:tcBorders>
              <w:top w:val="nil"/>
              <w:left w:val="nil"/>
              <w:bottom w:val="single" w:sz="4" w:space="0" w:color="auto"/>
              <w:right w:val="single" w:sz="4" w:space="0" w:color="auto"/>
            </w:tcBorders>
            <w:shd w:val="clear" w:color="auto" w:fill="auto"/>
            <w:vAlign w:val="center"/>
            <w:hideMark/>
          </w:tcPr>
          <w:p w:rsidR="008B5191" w:rsidRPr="007B4115" w:rsidRDefault="008B5191" w:rsidP="008B5191">
            <w:pPr>
              <w:widowControl/>
              <w:jc w:val="center"/>
              <w:rPr>
                <w:rFonts w:ascii="宋体" w:hAnsi="宋体" w:cs="Arial"/>
                <w:color w:val="000000"/>
                <w:kern w:val="0"/>
                <w:sz w:val="24"/>
              </w:rPr>
            </w:pPr>
          </w:p>
        </w:tc>
      </w:tr>
    </w:tbl>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pStyle w:val="a3"/>
        <w:spacing w:line="360" w:lineRule="auto"/>
        <w:ind w:left="780" w:firstLineChars="0" w:firstLine="0"/>
        <w:rPr>
          <w:rFonts w:ascii="宋体" w:hAnsi="宋体"/>
          <w:sz w:val="24"/>
        </w:rPr>
      </w:pPr>
    </w:p>
    <w:p w:rsidR="008B5191" w:rsidRDefault="008B5191" w:rsidP="008B5191">
      <w:pPr>
        <w:spacing w:line="360" w:lineRule="auto"/>
        <w:jc w:val="center"/>
        <w:rPr>
          <w:rFonts w:ascii="宋体" w:hAnsi="宋体"/>
          <w:sz w:val="24"/>
        </w:rPr>
      </w:pPr>
      <w:r>
        <w:rPr>
          <w:noProof/>
        </w:rPr>
        <w:drawing>
          <wp:inline distT="0" distB="0" distL="0" distR="0" wp14:anchorId="6D560D15" wp14:editId="666F9D0B">
            <wp:extent cx="4800600" cy="3076575"/>
            <wp:effectExtent l="0" t="0" r="19050" b="9525"/>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8B5191" w:rsidRDefault="008B5191" w:rsidP="008B5191">
      <w:pPr>
        <w:spacing w:line="360" w:lineRule="auto"/>
        <w:rPr>
          <w:rFonts w:ascii="宋体" w:hAnsi="宋体"/>
          <w:sz w:val="24"/>
        </w:rPr>
      </w:pPr>
    </w:p>
    <w:p w:rsidR="008B5191" w:rsidRPr="008B5191" w:rsidRDefault="008B5191" w:rsidP="008B5191">
      <w:pPr>
        <w:spacing w:line="360" w:lineRule="auto"/>
        <w:rPr>
          <w:rFonts w:ascii="宋体" w:hAnsi="宋体"/>
          <w:sz w:val="24"/>
        </w:rPr>
      </w:pPr>
    </w:p>
    <w:sectPr w:rsidR="008B5191" w:rsidRPr="008B5191" w:rsidSect="0099429B">
      <w:pgSz w:w="11906" w:h="16838"/>
      <w:pgMar w:top="1440" w:right="1077" w:bottom="1440" w:left="107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6E2" w:rsidRDefault="008C46E2" w:rsidP="000B2622">
      <w:r>
        <w:separator/>
      </w:r>
    </w:p>
  </w:endnote>
  <w:endnote w:type="continuationSeparator" w:id="0">
    <w:p w:rsidR="008C46E2" w:rsidRDefault="008C46E2" w:rsidP="000B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6E2" w:rsidRDefault="008C46E2" w:rsidP="000B2622">
      <w:r>
        <w:separator/>
      </w:r>
    </w:p>
  </w:footnote>
  <w:footnote w:type="continuationSeparator" w:id="0">
    <w:p w:rsidR="008C46E2" w:rsidRDefault="008C46E2" w:rsidP="000B26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D91C00"/>
    <w:multiLevelType w:val="hybridMultilevel"/>
    <w:tmpl w:val="05FCF5D2"/>
    <w:lvl w:ilvl="0" w:tplc="ADA06778">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A191915"/>
    <w:multiLevelType w:val="hybridMultilevel"/>
    <w:tmpl w:val="8D3CBFAE"/>
    <w:lvl w:ilvl="0" w:tplc="EA56A8EA">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725A309F"/>
    <w:multiLevelType w:val="hybridMultilevel"/>
    <w:tmpl w:val="4AE2506C"/>
    <w:lvl w:ilvl="0" w:tplc="A644F5B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2"/>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22B"/>
    <w:rsid w:val="000B2622"/>
    <w:rsid w:val="002C14FC"/>
    <w:rsid w:val="006B01DB"/>
    <w:rsid w:val="00864609"/>
    <w:rsid w:val="008B5191"/>
    <w:rsid w:val="008C46E2"/>
    <w:rsid w:val="0099429B"/>
    <w:rsid w:val="00BA77D9"/>
    <w:rsid w:val="00E542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01DB"/>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8B5191"/>
    <w:pPr>
      <w:ind w:firstLineChars="200" w:firstLine="420"/>
    </w:pPr>
  </w:style>
  <w:style w:type="table" w:styleId="a4">
    <w:name w:val="Table Grid"/>
    <w:basedOn w:val="a1"/>
    <w:uiPriority w:val="59"/>
    <w:rsid w:val="008B51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Char"/>
    <w:uiPriority w:val="99"/>
    <w:semiHidden/>
    <w:unhideWhenUsed/>
    <w:rsid w:val="008B5191"/>
    <w:rPr>
      <w:sz w:val="18"/>
      <w:szCs w:val="18"/>
    </w:rPr>
  </w:style>
  <w:style w:type="character" w:customStyle="1" w:styleId="Char">
    <w:name w:val="批注框文本 Char"/>
    <w:basedOn w:val="a0"/>
    <w:link w:val="a5"/>
    <w:uiPriority w:val="99"/>
    <w:semiHidden/>
    <w:rsid w:val="008B5191"/>
    <w:rPr>
      <w:rFonts w:ascii="Calibri" w:hAnsi="Calibri"/>
      <w:kern w:val="2"/>
      <w:sz w:val="18"/>
      <w:szCs w:val="18"/>
    </w:rPr>
  </w:style>
  <w:style w:type="paragraph" w:styleId="a6">
    <w:name w:val="header"/>
    <w:basedOn w:val="a"/>
    <w:link w:val="Char0"/>
    <w:uiPriority w:val="99"/>
    <w:unhideWhenUsed/>
    <w:rsid w:val="000B262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6"/>
    <w:uiPriority w:val="99"/>
    <w:rsid w:val="000B2622"/>
    <w:rPr>
      <w:rFonts w:ascii="Calibri" w:hAnsi="Calibri"/>
      <w:kern w:val="2"/>
      <w:sz w:val="18"/>
      <w:szCs w:val="18"/>
    </w:rPr>
  </w:style>
  <w:style w:type="paragraph" w:styleId="a7">
    <w:name w:val="footer"/>
    <w:basedOn w:val="a"/>
    <w:link w:val="Char1"/>
    <w:uiPriority w:val="99"/>
    <w:unhideWhenUsed/>
    <w:rsid w:val="000B2622"/>
    <w:pPr>
      <w:tabs>
        <w:tab w:val="center" w:pos="4153"/>
        <w:tab w:val="right" w:pos="8306"/>
      </w:tabs>
      <w:snapToGrid w:val="0"/>
      <w:jc w:val="left"/>
    </w:pPr>
    <w:rPr>
      <w:sz w:val="18"/>
      <w:szCs w:val="18"/>
    </w:rPr>
  </w:style>
  <w:style w:type="character" w:customStyle="1" w:styleId="Char1">
    <w:name w:val="页脚 Char"/>
    <w:basedOn w:val="a0"/>
    <w:link w:val="a7"/>
    <w:uiPriority w:val="99"/>
    <w:rsid w:val="000B2622"/>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zdd\Desktop\&#26032;&#24314;%20Microsoft%20Excel%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sz="1800" b="1" i="0" u="none" strike="noStrike" kern="1200" baseline="0">
                <a:solidFill>
                  <a:sysClr val="windowText" lastClr="000000"/>
                </a:solidFill>
                <a:latin typeface="+mn-lt"/>
                <a:ea typeface="+mn-ea"/>
                <a:cs typeface="+mn-cs"/>
              </a:rPr>
              <a:t>成人脱产</a:t>
            </a:r>
            <a:r>
              <a:rPr lang="zh-CN" altLang="en-US"/>
              <a:t>毕业生分布图</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dLbls>
            <c:showLegendKey val="0"/>
            <c:showVal val="1"/>
            <c:showCatName val="0"/>
            <c:showSerName val="0"/>
            <c:showPercent val="0"/>
            <c:showBubbleSize val="0"/>
            <c:showLeaderLines val="0"/>
          </c:dLbls>
          <c:cat>
            <c:strRef>
              <c:f>Sheet1!$A$2:$A$4</c:f>
              <c:strCache>
                <c:ptCount val="3"/>
                <c:pt idx="0">
                  <c:v>经管系</c:v>
                </c:pt>
                <c:pt idx="1">
                  <c:v>工程系</c:v>
                </c:pt>
                <c:pt idx="2">
                  <c:v>文法系</c:v>
                </c:pt>
              </c:strCache>
            </c:strRef>
          </c:cat>
          <c:val>
            <c:numRef>
              <c:f>Sheet1!$B$2:$B$4</c:f>
              <c:numCache>
                <c:formatCode>General</c:formatCode>
                <c:ptCount val="3"/>
                <c:pt idx="0">
                  <c:v>130</c:v>
                </c:pt>
                <c:pt idx="1">
                  <c:v>86</c:v>
                </c:pt>
                <c:pt idx="2">
                  <c:v>53</c:v>
                </c:pt>
              </c:numCache>
            </c:numRef>
          </c:val>
        </c:ser>
        <c:dLbls>
          <c:showLegendKey val="0"/>
          <c:showVal val="0"/>
          <c:showCatName val="0"/>
          <c:showSerName val="0"/>
          <c:showPercent val="0"/>
          <c:showBubbleSize val="0"/>
        </c:dLbls>
        <c:gapWidth val="150"/>
        <c:shape val="box"/>
        <c:axId val="416165248"/>
        <c:axId val="449672320"/>
        <c:axId val="0"/>
      </c:bar3DChart>
      <c:catAx>
        <c:axId val="416165248"/>
        <c:scaling>
          <c:orientation val="minMax"/>
        </c:scaling>
        <c:delete val="0"/>
        <c:axPos val="b"/>
        <c:majorTickMark val="out"/>
        <c:minorTickMark val="none"/>
        <c:tickLblPos val="nextTo"/>
        <c:crossAx val="449672320"/>
        <c:crosses val="autoZero"/>
        <c:auto val="1"/>
        <c:lblAlgn val="ctr"/>
        <c:lblOffset val="100"/>
        <c:noMultiLvlLbl val="0"/>
      </c:catAx>
      <c:valAx>
        <c:axId val="449672320"/>
        <c:scaling>
          <c:orientation val="minMax"/>
        </c:scaling>
        <c:delete val="0"/>
        <c:axPos val="l"/>
        <c:majorGridlines/>
        <c:numFmt formatCode="General" sourceLinked="1"/>
        <c:majorTickMark val="out"/>
        <c:minorTickMark val="none"/>
        <c:tickLblPos val="nextTo"/>
        <c:crossAx val="416165248"/>
        <c:crosses val="autoZero"/>
        <c:crossBetween val="between"/>
      </c:valAx>
    </c:plotArea>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zh-CN" altLang="en-US"/>
              <a:t>各系毕业生就业率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Sheet1!$A$2:$A$4</c:f>
              <c:strCache>
                <c:ptCount val="3"/>
                <c:pt idx="0">
                  <c:v>经管系</c:v>
                </c:pt>
                <c:pt idx="1">
                  <c:v>工程系</c:v>
                </c:pt>
                <c:pt idx="2">
                  <c:v>文法系</c:v>
                </c:pt>
              </c:strCache>
            </c:strRef>
          </c:cat>
          <c:val>
            <c:numRef>
              <c:f>Sheet1!$D$2:$D$4</c:f>
              <c:numCache>
                <c:formatCode>0.00%</c:formatCode>
                <c:ptCount val="3"/>
                <c:pt idx="0">
                  <c:v>0.82307692307692304</c:v>
                </c:pt>
                <c:pt idx="1">
                  <c:v>0.80232558139534882</c:v>
                </c:pt>
                <c:pt idx="2">
                  <c:v>0.83018867924528306</c:v>
                </c:pt>
              </c:numCache>
            </c:numRef>
          </c:val>
        </c:ser>
        <c:dLbls>
          <c:showLegendKey val="0"/>
          <c:showVal val="1"/>
          <c:showCatName val="0"/>
          <c:showSerName val="0"/>
          <c:showPercent val="0"/>
          <c:showBubbleSize val="0"/>
        </c:dLbls>
        <c:gapWidth val="150"/>
        <c:shape val="box"/>
        <c:axId val="449697664"/>
        <c:axId val="449699200"/>
        <c:axId val="0"/>
      </c:bar3DChart>
      <c:catAx>
        <c:axId val="449697664"/>
        <c:scaling>
          <c:orientation val="minMax"/>
        </c:scaling>
        <c:delete val="0"/>
        <c:axPos val="b"/>
        <c:majorTickMark val="out"/>
        <c:minorTickMark val="none"/>
        <c:tickLblPos val="nextTo"/>
        <c:crossAx val="449699200"/>
        <c:crosses val="autoZero"/>
        <c:auto val="1"/>
        <c:lblAlgn val="ctr"/>
        <c:lblOffset val="100"/>
        <c:noMultiLvlLbl val="0"/>
      </c:catAx>
      <c:valAx>
        <c:axId val="449699200"/>
        <c:scaling>
          <c:orientation val="minMax"/>
        </c:scaling>
        <c:delete val="0"/>
        <c:axPos val="l"/>
        <c:majorGridlines/>
        <c:numFmt formatCode="0.00%" sourceLinked="1"/>
        <c:majorTickMark val="out"/>
        <c:minorTickMark val="none"/>
        <c:tickLblPos val="nextTo"/>
        <c:crossAx val="449697664"/>
        <c:crosses val="autoZero"/>
        <c:crossBetween val="between"/>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a:pPr>
            <a:r>
              <a:rPr lang="en-US" altLang="zh-CN"/>
              <a:t>2015</a:t>
            </a:r>
            <a:r>
              <a:rPr lang="zh-CN" altLang="en-US"/>
              <a:t>届</a:t>
            </a:r>
            <a:r>
              <a:rPr lang="zh-CN" altLang="en-US" sz="1800" b="1" i="0" u="none" strike="noStrike" kern="1200" baseline="0">
                <a:solidFill>
                  <a:sysClr val="windowText" lastClr="000000"/>
                </a:solidFill>
                <a:latin typeface="+mn-lt"/>
                <a:ea typeface="+mn-ea"/>
                <a:cs typeface="+mn-cs"/>
              </a:rPr>
              <a:t>成人脱产</a:t>
            </a:r>
            <a:r>
              <a:rPr lang="zh-CN" altLang="en-US"/>
              <a:t>毕业生专业就业率</a:t>
            </a:r>
          </a:p>
        </c:rich>
      </c:tx>
      <c:overlay val="0"/>
    </c:title>
    <c:autoTitleDeleted val="0"/>
    <c:view3D>
      <c:rotX val="15"/>
      <c:rotY val="20"/>
      <c:rAngAx val="1"/>
    </c:view3D>
    <c:floor>
      <c:thickness val="0"/>
    </c:floor>
    <c:sideWall>
      <c:thickness val="0"/>
    </c:sideWall>
    <c:backWall>
      <c:thickness val="0"/>
    </c:backWall>
    <c:plotArea>
      <c:layout/>
      <c:bar3DChart>
        <c:barDir val="col"/>
        <c:grouping val="clustered"/>
        <c:varyColors val="0"/>
        <c:ser>
          <c:idx val="0"/>
          <c:order val="0"/>
          <c:invertIfNegative val="0"/>
          <c:cat>
            <c:strRef>
              <c:f>Sheet1!$A$13:$A$21</c:f>
              <c:strCache>
                <c:ptCount val="9"/>
                <c:pt idx="0">
                  <c:v>会计</c:v>
                </c:pt>
                <c:pt idx="1">
                  <c:v>电子商务</c:v>
                </c:pt>
                <c:pt idx="2">
                  <c:v>市场营销</c:v>
                </c:pt>
                <c:pt idx="3">
                  <c:v>学前教育</c:v>
                </c:pt>
                <c:pt idx="4">
                  <c:v>工商</c:v>
                </c:pt>
                <c:pt idx="5">
                  <c:v>计算机</c:v>
                </c:pt>
                <c:pt idx="6">
                  <c:v>建筑</c:v>
                </c:pt>
                <c:pt idx="7">
                  <c:v>机电</c:v>
                </c:pt>
                <c:pt idx="8">
                  <c:v>广告</c:v>
                </c:pt>
              </c:strCache>
            </c:strRef>
          </c:cat>
          <c:val>
            <c:numRef>
              <c:f>Sheet1!$D$13:$D$21</c:f>
              <c:numCache>
                <c:formatCode>0.00%</c:formatCode>
                <c:ptCount val="9"/>
                <c:pt idx="0">
                  <c:v>0.82350000000000001</c:v>
                </c:pt>
                <c:pt idx="1">
                  <c:v>0.78569999999999995</c:v>
                </c:pt>
                <c:pt idx="2">
                  <c:v>0.85</c:v>
                </c:pt>
                <c:pt idx="3">
                  <c:v>0.84209999999999996</c:v>
                </c:pt>
                <c:pt idx="4">
                  <c:v>0.81820000000000004</c:v>
                </c:pt>
                <c:pt idx="5">
                  <c:v>0.76470000000000005</c:v>
                </c:pt>
                <c:pt idx="6">
                  <c:v>0.8</c:v>
                </c:pt>
                <c:pt idx="7">
                  <c:v>0.8276</c:v>
                </c:pt>
                <c:pt idx="8">
                  <c:v>0.8</c:v>
                </c:pt>
              </c:numCache>
            </c:numRef>
          </c:val>
        </c:ser>
        <c:dLbls>
          <c:showLegendKey val="0"/>
          <c:showVal val="1"/>
          <c:showCatName val="0"/>
          <c:showSerName val="0"/>
          <c:showPercent val="0"/>
          <c:showBubbleSize val="0"/>
        </c:dLbls>
        <c:gapWidth val="150"/>
        <c:shape val="box"/>
        <c:axId val="450769280"/>
        <c:axId val="450770816"/>
        <c:axId val="0"/>
      </c:bar3DChart>
      <c:catAx>
        <c:axId val="450769280"/>
        <c:scaling>
          <c:orientation val="minMax"/>
        </c:scaling>
        <c:delete val="0"/>
        <c:axPos val="b"/>
        <c:majorTickMark val="out"/>
        <c:minorTickMark val="none"/>
        <c:tickLblPos val="nextTo"/>
        <c:crossAx val="450770816"/>
        <c:crosses val="autoZero"/>
        <c:auto val="1"/>
        <c:lblAlgn val="ctr"/>
        <c:lblOffset val="100"/>
        <c:noMultiLvlLbl val="0"/>
      </c:catAx>
      <c:valAx>
        <c:axId val="450770816"/>
        <c:scaling>
          <c:orientation val="minMax"/>
        </c:scaling>
        <c:delete val="0"/>
        <c:axPos val="l"/>
        <c:majorGridlines/>
        <c:numFmt formatCode="0.00%" sourceLinked="1"/>
        <c:majorTickMark val="out"/>
        <c:minorTickMark val="none"/>
        <c:tickLblPos val="nextTo"/>
        <c:crossAx val="450769280"/>
        <c:crosses val="autoZero"/>
        <c:crossBetween val="between"/>
      </c:valAx>
    </c:plotArea>
    <c:plotVisOnly val="1"/>
    <c:dispBlanksAs val="gap"/>
    <c:showDLblsOverMax val="0"/>
  </c:chart>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170</Words>
  <Characters>973</Characters>
  <Application>Microsoft Office Word</Application>
  <DocSecurity>0</DocSecurity>
  <Lines>8</Lines>
  <Paragraphs>2</Paragraphs>
  <ScaleCrop>false</ScaleCrop>
  <Company/>
  <LinksUpToDate>false</LinksUpToDate>
  <CharactersWithSpaces>1141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tzdd</dc:creator>
  <cp:keywords/>
  <dc:description/>
  <cp:lastModifiedBy>HP</cp:lastModifiedBy>
  <cp:revision>4</cp:revision>
  <dcterms:created xsi:type="dcterms:W3CDTF">2017-09-05T04:03:00Z</dcterms:created>
  <dcterms:modified xsi:type="dcterms:W3CDTF">2017-09-06T08:40:00Z</dcterms:modified>
</cp:coreProperties>
</file>