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9" w:rsidRPr="00E20F18" w:rsidRDefault="005C2249" w:rsidP="005C2249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20F18">
        <w:rPr>
          <w:rFonts w:ascii="方正小标宋简体" w:eastAsia="方正小标宋简体" w:hAnsi="宋体" w:hint="eastAsia"/>
          <w:sz w:val="36"/>
          <w:szCs w:val="36"/>
        </w:rPr>
        <w:t>台州电大脱产毕业生满意度</w:t>
      </w:r>
      <w:r w:rsidRPr="00E20F18">
        <w:rPr>
          <w:rFonts w:ascii="方正小标宋简体" w:eastAsia="方正小标宋简体" w:hAnsi="宋体"/>
          <w:sz w:val="36"/>
          <w:szCs w:val="36"/>
        </w:rPr>
        <w:t>调查</w:t>
      </w:r>
      <w:r w:rsidR="00641558">
        <w:rPr>
          <w:rFonts w:ascii="方正小标宋简体" w:eastAsia="方正小标宋简体" w:hAnsi="宋体" w:hint="eastAsia"/>
          <w:sz w:val="36"/>
          <w:szCs w:val="36"/>
        </w:rPr>
        <w:t>分析报告</w:t>
      </w:r>
    </w:p>
    <w:p w:rsidR="001F5A30" w:rsidRPr="008F4D7E" w:rsidRDefault="001F5A30" w:rsidP="008F4D7E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8F4D7E">
        <w:rPr>
          <w:rFonts w:asciiTheme="minorEastAsia" w:eastAsiaTheme="minorEastAsia" w:hAnsiTheme="minorEastAsia" w:hint="eastAsia"/>
          <w:sz w:val="24"/>
        </w:rPr>
        <w:t>为了解脱产毕业学生（包括大专和中专）对我校教学、管理和服务工作的评价，以进一步提高学校服务质量，改进教学和管理水平，根据ISO9001质量管理</w:t>
      </w:r>
      <w:bookmarkStart w:id="0" w:name="_GoBack"/>
      <w:bookmarkEnd w:id="0"/>
      <w:r w:rsidRPr="008F4D7E">
        <w:rPr>
          <w:rFonts w:asciiTheme="minorEastAsia" w:eastAsiaTheme="minorEastAsia" w:hAnsiTheme="minorEastAsia" w:hint="eastAsia"/>
          <w:sz w:val="24"/>
        </w:rPr>
        <w:t>体系的要求，学校于2016年3月，学校于2016年3月，在全校各个脱产毕业班级随机抽取200人（其中高职学院100人，继续教育学院50人，中职学院50人）进行问卷调查。现将统计分析情况报告如下：</w:t>
      </w:r>
    </w:p>
    <w:p w:rsidR="001F5A30" w:rsidRPr="00AA2B7D" w:rsidRDefault="001F5A30" w:rsidP="00AA2B7D">
      <w:pPr>
        <w:widowControl/>
        <w:spacing w:afterLines="50" w:after="156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AA2B7D">
        <w:rPr>
          <w:rFonts w:asciiTheme="minorEastAsia" w:eastAsiaTheme="minorEastAsia" w:hAnsiTheme="minorEastAsia" w:cs="宋体" w:hint="eastAsia"/>
          <w:b/>
          <w:kern w:val="0"/>
          <w:sz w:val="24"/>
        </w:rPr>
        <w:t>一、满意度情况统计</w:t>
      </w:r>
    </w:p>
    <w:p w:rsidR="005C2249" w:rsidRPr="008F4D7E" w:rsidRDefault="001F5A30" w:rsidP="008F4D7E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8F4D7E">
        <w:rPr>
          <w:rFonts w:asciiTheme="minorEastAsia" w:eastAsiaTheme="minorEastAsia" w:hAnsiTheme="minorEastAsia" w:hint="eastAsia"/>
          <w:sz w:val="24"/>
        </w:rPr>
        <w:t>本次满意度调查共发出问卷200份，回收有效问卷200份，回收率100%。根据统计台州电大脱产毕业学生满意度为</w:t>
      </w:r>
      <w:r w:rsidR="00A77284" w:rsidRPr="008F4D7E">
        <w:rPr>
          <w:rFonts w:asciiTheme="minorEastAsia" w:eastAsiaTheme="minorEastAsia" w:hAnsiTheme="minorEastAsia"/>
          <w:sz w:val="24"/>
        </w:rPr>
        <w:t>86%</w:t>
      </w:r>
      <w:r w:rsidR="00A77284" w:rsidRPr="008F4D7E">
        <w:rPr>
          <w:rFonts w:asciiTheme="minorEastAsia" w:eastAsiaTheme="minorEastAsia" w:hAnsiTheme="minorEastAsia" w:hint="eastAsia"/>
          <w:sz w:val="24"/>
        </w:rPr>
        <w:t xml:space="preserve"> </w:t>
      </w:r>
      <w:r w:rsidRPr="008F4D7E">
        <w:rPr>
          <w:rFonts w:asciiTheme="minorEastAsia" w:eastAsiaTheme="minorEastAsia" w:hAnsiTheme="minorEastAsia" w:hint="eastAsia"/>
          <w:sz w:val="24"/>
        </w:rPr>
        <w:t>，具体情况如下表：</w:t>
      </w:r>
    </w:p>
    <w:tbl>
      <w:tblPr>
        <w:tblW w:w="8393" w:type="dxa"/>
        <w:tblLook w:val="0000" w:firstRow="0" w:lastRow="0" w:firstColumn="0" w:lastColumn="0" w:noHBand="0" w:noVBand="0"/>
      </w:tblPr>
      <w:tblGrid>
        <w:gridCol w:w="3691"/>
        <w:gridCol w:w="1120"/>
        <w:gridCol w:w="1349"/>
        <w:gridCol w:w="1178"/>
        <w:gridCol w:w="1055"/>
      </w:tblGrid>
      <w:tr w:rsidR="006E7195" w:rsidRPr="00C21527" w:rsidTr="006E7195">
        <w:trPr>
          <w:trHeight w:val="402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C21527" w:rsidRDefault="006E7195" w:rsidP="00B40329">
            <w:pPr>
              <w:spacing w:line="440" w:lineRule="exact"/>
              <w:jc w:val="center"/>
              <w:rPr>
                <w:rFonts w:ascii="仿宋_GB2312" w:eastAsia="仿宋_GB2312"/>
                <w:b/>
              </w:rPr>
            </w:pPr>
            <w:r w:rsidRPr="00C21527">
              <w:rPr>
                <w:rFonts w:ascii="仿宋_GB2312" w:eastAsia="仿宋_GB2312" w:hint="eastAsia"/>
                <w:b/>
              </w:rPr>
              <w:t>调 查 项 目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19761A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9761A">
              <w:rPr>
                <w:rFonts w:ascii="宋体" w:hAnsi="宋体" w:cs="宋体" w:hint="eastAsia"/>
                <w:b/>
                <w:kern w:val="0"/>
                <w:sz w:val="24"/>
              </w:rPr>
              <w:t>评</w:t>
            </w:r>
            <w:r w:rsidRPr="0019761A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19761A">
              <w:rPr>
                <w:rFonts w:ascii="宋体" w:hAnsi="宋体" w:cs="宋体" w:hint="eastAsia"/>
                <w:b/>
                <w:kern w:val="0"/>
                <w:sz w:val="24"/>
              </w:rPr>
              <w:t>价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（大专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-高职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（大专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继教院</w:t>
            </w:r>
            <w:proofErr w:type="gramEnd"/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95" w:rsidRPr="00A51AA4" w:rsidRDefault="006E7195" w:rsidP="00B834A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满意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度</w:t>
            </w:r>
          </w:p>
          <w:p w:rsidR="006E7195" w:rsidRPr="00A51AA4" w:rsidRDefault="006E7195" w:rsidP="00B705E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  <w:r w:rsidRPr="00A51AA4">
              <w:rPr>
                <w:rFonts w:ascii="宋体" w:hAnsi="宋体" w:cs="宋体" w:hint="eastAsia"/>
                <w:b/>
                <w:kern w:val="0"/>
                <w:sz w:val="24"/>
              </w:rPr>
              <w:t>专）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C21527" w:rsidRDefault="006E7195" w:rsidP="007279CC"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 w:rsidRPr="005532C4">
              <w:rPr>
                <w:rFonts w:ascii="宋体" w:hAnsi="宋体" w:cs="宋体" w:hint="eastAsia"/>
                <w:b/>
                <w:kern w:val="0"/>
                <w:sz w:val="24"/>
              </w:rPr>
              <w:t>加权平均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值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1、课程设置合理性满意度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91.0%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2、教师教学水平满意度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92%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96%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94.7%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3、教师责任感满意度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91%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92%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93.0%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4、班主任、辅导员工作满意度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91%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94%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94.3%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5、课程实验、实</w:t>
            </w:r>
            <w:proofErr w:type="gramStart"/>
            <w:r w:rsidRPr="00C21527">
              <w:rPr>
                <w:rFonts w:ascii="仿宋_GB2312" w:eastAsia="仿宋_GB2312" w:hint="eastAsia"/>
              </w:rPr>
              <w:t>训</w:t>
            </w:r>
            <w:r>
              <w:rPr>
                <w:rFonts w:ascii="仿宋_GB2312" w:eastAsia="仿宋_GB2312" w:hint="eastAsia"/>
              </w:rPr>
              <w:t>教学效果</w:t>
            </w:r>
            <w:proofErr w:type="gramEnd"/>
            <w:r w:rsidRPr="00C21527">
              <w:rPr>
                <w:rFonts w:ascii="仿宋_GB2312" w:eastAsia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86%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87.0%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6、学习氛围满意度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81%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66%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79.0%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7、学校就业指导满意度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94%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81.3%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8、对学校提供的就业信息满意度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83%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72%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83.7%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9、对自己的职业发展满意度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75%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94%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83.0%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10、教学设备</w:t>
            </w:r>
            <w:r>
              <w:rPr>
                <w:rFonts w:ascii="仿宋_GB2312" w:eastAsia="仿宋_GB2312" w:hint="eastAsia"/>
              </w:rPr>
              <w:t>、实</w:t>
            </w:r>
            <w:proofErr w:type="gramStart"/>
            <w:r>
              <w:rPr>
                <w:rFonts w:ascii="仿宋_GB2312" w:eastAsia="仿宋_GB2312" w:hint="eastAsia"/>
              </w:rPr>
              <w:t>训设施</w:t>
            </w:r>
            <w:proofErr w:type="gramEnd"/>
            <w:r w:rsidRPr="00C21527">
              <w:rPr>
                <w:rFonts w:ascii="仿宋_GB2312" w:eastAsia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72%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72%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94%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79.3%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11、住宿条件满意度（住校生填写）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66%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75.3%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12、饮食条件满意度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68%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77.3%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13、校园环境满意度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78%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86.7%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14、社团活动满意度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88.0%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15、各项评优政策满意度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85%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92%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85.7%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16、投诉路径及反馈情况满意度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75%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74%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83.0%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17、治安满意度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861416" w:rsidRDefault="006E7195" w:rsidP="00FD0AA1">
            <w:r w:rsidRPr="00861416">
              <w:t>79%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84%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87.0%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B40329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hint="eastAsia"/>
              </w:rPr>
              <w:t>18、图书馆藏</w:t>
            </w:r>
            <w:proofErr w:type="gramStart"/>
            <w:r w:rsidRPr="00C21527">
              <w:rPr>
                <w:rFonts w:ascii="仿宋_GB2312" w:eastAsia="仿宋_GB2312" w:hint="eastAsia"/>
              </w:rPr>
              <w:t>书满意</w:t>
            </w:r>
            <w:proofErr w:type="gramEnd"/>
            <w:r w:rsidRPr="00C21527">
              <w:rPr>
                <w:rFonts w:ascii="仿宋_GB2312" w:eastAsia="仿宋_GB2312" w:hint="eastAsia"/>
              </w:rPr>
              <w:t>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Default="006E7195" w:rsidP="00FD0AA1">
            <w:r w:rsidRPr="00861416">
              <w:t>87%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98%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Pr="00B40212" w:rsidRDefault="006E7195" w:rsidP="00435DEF">
            <w:r w:rsidRPr="00B40212">
              <w:t>91.0%</w:t>
            </w:r>
          </w:p>
        </w:tc>
      </w:tr>
      <w:tr w:rsidR="006E7195" w:rsidRPr="00C21527" w:rsidTr="006E7195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C21527" w:rsidRDefault="006E7195" w:rsidP="00EB47AE">
            <w:pPr>
              <w:spacing w:line="440" w:lineRule="exact"/>
              <w:rPr>
                <w:rFonts w:ascii="仿宋_GB2312" w:eastAsia="仿宋_GB2312"/>
              </w:rPr>
            </w:pPr>
            <w:r w:rsidRPr="00EB47AE">
              <w:rPr>
                <w:rFonts w:ascii="仿宋_GB2312" w:eastAsia="仿宋_GB2312" w:hint="eastAsia"/>
              </w:rPr>
              <w:lastRenderedPageBreak/>
              <w:t>平均满意度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Default="006E7195">
            <w:r w:rsidRPr="007C05F0">
              <w:t>81%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383914">
            <w:r w:rsidRPr="00760560">
              <w:t>81%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95" w:rsidRPr="00760560" w:rsidRDefault="006E7195" w:rsidP="00B00A2D">
            <w:r w:rsidRPr="00760560">
              <w:t>9</w:t>
            </w:r>
            <w:r w:rsidRPr="00760560">
              <w:rPr>
                <w:rFonts w:hint="eastAsia"/>
              </w:rPr>
              <w:t>5</w:t>
            </w:r>
            <w:r w:rsidRPr="00760560"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195" w:rsidRDefault="006E7195" w:rsidP="00435DEF">
            <w:r w:rsidRPr="00B40212">
              <w:t>85.7%</w:t>
            </w:r>
          </w:p>
        </w:tc>
      </w:tr>
    </w:tbl>
    <w:p w:rsidR="003D61D0" w:rsidRPr="00AA2B7D" w:rsidRDefault="00760560" w:rsidP="00AA2B7D">
      <w:pPr>
        <w:widowControl/>
        <w:spacing w:afterLines="50" w:after="156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AA2B7D">
        <w:rPr>
          <w:rFonts w:asciiTheme="minorEastAsia" w:eastAsiaTheme="minorEastAsia" w:hAnsiTheme="minorEastAsia" w:cs="宋体" w:hint="eastAsia"/>
          <w:b/>
          <w:kern w:val="0"/>
          <w:sz w:val="24"/>
        </w:rPr>
        <w:t>二、有待改进原因分析及改进措施</w:t>
      </w:r>
    </w:p>
    <w:p w:rsidR="0023672E" w:rsidRPr="00AA2B7D" w:rsidRDefault="0023672E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今年脱产毕业生满意度调查结果，比2015年的满意度调查结果平均提高3个百分点（2015年的毕业生的平均满意度为82.1%），说明我校脱产教育的管理、教学和服务工作较以往有提升，学生认可度比较高。其中课程设置合理性</w:t>
      </w:r>
      <w:r w:rsidR="00BF2B3C" w:rsidRPr="00AA2B7D">
        <w:rPr>
          <w:rFonts w:asciiTheme="minorEastAsia" w:eastAsiaTheme="minorEastAsia" w:hAnsiTheme="minorEastAsia" w:hint="eastAsia"/>
          <w:sz w:val="24"/>
        </w:rPr>
        <w:t>（91.0%）、</w:t>
      </w:r>
      <w:r w:rsidRPr="00AA2B7D">
        <w:rPr>
          <w:rFonts w:asciiTheme="minorEastAsia" w:eastAsiaTheme="minorEastAsia" w:hAnsiTheme="minorEastAsia" w:hint="eastAsia"/>
          <w:sz w:val="24"/>
        </w:rPr>
        <w:t>教师责任感满意度（93.0.%）、教师教学水平满意度（94.7%）、班主任、辅导员工作满意度（94.3%）、图书馆藏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书满意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度（91.0%）较高，均在90%以上；住宿条件满意度（</w:t>
      </w:r>
      <w:r w:rsidR="00BF2B3C" w:rsidRPr="00AA2B7D">
        <w:rPr>
          <w:rFonts w:asciiTheme="minorEastAsia" w:eastAsiaTheme="minorEastAsia" w:hAnsiTheme="minorEastAsia" w:hint="eastAsia"/>
          <w:sz w:val="24"/>
        </w:rPr>
        <w:t>75.3</w:t>
      </w:r>
      <w:r w:rsidRPr="00AA2B7D">
        <w:rPr>
          <w:rFonts w:asciiTheme="minorEastAsia" w:eastAsiaTheme="minorEastAsia" w:hAnsiTheme="minorEastAsia" w:hint="eastAsia"/>
          <w:sz w:val="24"/>
        </w:rPr>
        <w:t>%）、饮食条件满意度（7</w:t>
      </w:r>
      <w:r w:rsidR="00BF2B3C" w:rsidRPr="00AA2B7D">
        <w:rPr>
          <w:rFonts w:asciiTheme="minorEastAsia" w:eastAsiaTheme="minorEastAsia" w:hAnsiTheme="minorEastAsia" w:hint="eastAsia"/>
          <w:sz w:val="24"/>
        </w:rPr>
        <w:t>7.3</w:t>
      </w:r>
      <w:r w:rsidRPr="00AA2B7D">
        <w:rPr>
          <w:rFonts w:asciiTheme="minorEastAsia" w:eastAsiaTheme="minorEastAsia" w:hAnsiTheme="minorEastAsia" w:hint="eastAsia"/>
          <w:sz w:val="24"/>
        </w:rPr>
        <w:t>%）、</w:t>
      </w:r>
      <w:r w:rsidR="00BF2B3C" w:rsidRPr="00AA2B7D">
        <w:rPr>
          <w:rFonts w:asciiTheme="minorEastAsia" w:eastAsiaTheme="minorEastAsia" w:hAnsiTheme="minorEastAsia" w:hint="eastAsia"/>
          <w:sz w:val="24"/>
        </w:rPr>
        <w:t>教学设备</w:t>
      </w:r>
      <w:r w:rsidRPr="00AA2B7D">
        <w:rPr>
          <w:rFonts w:asciiTheme="minorEastAsia" w:eastAsiaTheme="minorEastAsia" w:hAnsiTheme="minorEastAsia" w:hint="eastAsia"/>
          <w:sz w:val="24"/>
        </w:rPr>
        <w:t>、实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训</w:t>
      </w:r>
      <w:r w:rsidR="00BF2B3C" w:rsidRPr="00AA2B7D">
        <w:rPr>
          <w:rFonts w:asciiTheme="minorEastAsia" w:eastAsiaTheme="minorEastAsia" w:hAnsiTheme="minorEastAsia" w:hint="eastAsia"/>
          <w:sz w:val="24"/>
        </w:rPr>
        <w:t>设施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满意度（7</w:t>
      </w:r>
      <w:r w:rsidR="00BF2B3C" w:rsidRPr="00AA2B7D">
        <w:rPr>
          <w:rFonts w:asciiTheme="minorEastAsia" w:eastAsiaTheme="minorEastAsia" w:hAnsiTheme="minorEastAsia" w:hint="eastAsia"/>
          <w:sz w:val="24"/>
        </w:rPr>
        <w:t>9.3</w:t>
      </w:r>
      <w:r w:rsidRPr="00AA2B7D">
        <w:rPr>
          <w:rFonts w:asciiTheme="minorEastAsia" w:eastAsiaTheme="minorEastAsia" w:hAnsiTheme="minorEastAsia" w:hint="eastAsia"/>
          <w:sz w:val="24"/>
        </w:rPr>
        <w:t>%）、学校就业指导满意度（77.5%）和</w:t>
      </w:r>
      <w:r w:rsidR="00BF2B3C" w:rsidRPr="00AA2B7D">
        <w:rPr>
          <w:rFonts w:asciiTheme="minorEastAsia" w:eastAsiaTheme="minorEastAsia" w:hAnsiTheme="minorEastAsia" w:hint="eastAsia"/>
          <w:sz w:val="24"/>
        </w:rPr>
        <w:t>学习气氛满意度</w:t>
      </w:r>
      <w:r w:rsidRPr="00AA2B7D">
        <w:rPr>
          <w:rFonts w:asciiTheme="minorEastAsia" w:eastAsiaTheme="minorEastAsia" w:hAnsiTheme="minorEastAsia" w:hint="eastAsia"/>
          <w:sz w:val="24"/>
        </w:rPr>
        <w:t>（79.</w:t>
      </w:r>
      <w:r w:rsidR="00BF2B3C" w:rsidRPr="00AA2B7D">
        <w:rPr>
          <w:rFonts w:asciiTheme="minorEastAsia" w:eastAsiaTheme="minorEastAsia" w:hAnsiTheme="minorEastAsia" w:hint="eastAsia"/>
          <w:sz w:val="24"/>
        </w:rPr>
        <w:t>0</w:t>
      </w:r>
      <w:r w:rsidRPr="00AA2B7D">
        <w:rPr>
          <w:rFonts w:asciiTheme="minorEastAsia" w:eastAsiaTheme="minorEastAsia" w:hAnsiTheme="minorEastAsia" w:hint="eastAsia"/>
          <w:sz w:val="24"/>
        </w:rPr>
        <w:t>%）相对较低，均在80%以下。各职能部门对有待改进的原因进行了分析，并提出了相应的改进措施，汇总如下：</w:t>
      </w:r>
    </w:p>
    <w:p w:rsidR="0023672E" w:rsidRPr="00AA2B7D" w:rsidRDefault="0023672E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1、班主任、辅导员工作满意度（94.3%）高。说明各学院班主任工作落实到位，学工人员深入学生中开展活动有效果。</w:t>
      </w:r>
    </w:p>
    <w:p w:rsidR="008626DA" w:rsidRPr="00AA2B7D" w:rsidRDefault="007201A9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2、本次调查课程实验、实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训教学效果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满意度（87.0%）和教学设备、实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训设施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满意度（79.3%），</w:t>
      </w:r>
      <w:r w:rsidR="008626DA" w:rsidRPr="00AA2B7D">
        <w:rPr>
          <w:rFonts w:asciiTheme="minorEastAsia" w:eastAsiaTheme="minorEastAsia" w:hAnsiTheme="minorEastAsia" w:hint="eastAsia"/>
          <w:sz w:val="24"/>
        </w:rPr>
        <w:t>与2015年的课程实验、实</w:t>
      </w:r>
      <w:proofErr w:type="gramStart"/>
      <w:r w:rsidR="008626DA" w:rsidRPr="00AA2B7D">
        <w:rPr>
          <w:rFonts w:asciiTheme="minorEastAsia" w:eastAsiaTheme="minorEastAsia" w:hAnsiTheme="minorEastAsia" w:hint="eastAsia"/>
          <w:sz w:val="24"/>
        </w:rPr>
        <w:t>训满意</w:t>
      </w:r>
      <w:proofErr w:type="gramEnd"/>
      <w:r w:rsidR="008626DA" w:rsidRPr="00AA2B7D">
        <w:rPr>
          <w:rFonts w:asciiTheme="minorEastAsia" w:eastAsiaTheme="minorEastAsia" w:hAnsiTheme="minorEastAsia" w:hint="eastAsia"/>
          <w:sz w:val="24"/>
        </w:rPr>
        <w:t>度（73.5%）和教学设备满意度（77.4%）相比，课程实验和实训课程效果的满意度有了明显提高</w:t>
      </w:r>
      <w:r w:rsidR="00232DD3" w:rsidRPr="00AA2B7D">
        <w:rPr>
          <w:rFonts w:asciiTheme="minorEastAsia" w:eastAsiaTheme="minorEastAsia" w:hAnsiTheme="minorEastAsia" w:hint="eastAsia"/>
          <w:sz w:val="24"/>
        </w:rPr>
        <w:t>，</w:t>
      </w:r>
      <w:r w:rsidR="008626DA" w:rsidRPr="00AA2B7D">
        <w:rPr>
          <w:rFonts w:asciiTheme="minorEastAsia" w:eastAsiaTheme="minorEastAsia" w:hAnsiTheme="minorEastAsia" w:hint="eastAsia"/>
          <w:sz w:val="24"/>
        </w:rPr>
        <w:t>但是我校的办学硬件设施不足的实际现状</w:t>
      </w:r>
      <w:r w:rsidR="00232DD3" w:rsidRPr="00AA2B7D">
        <w:rPr>
          <w:rFonts w:asciiTheme="minorEastAsia" w:eastAsiaTheme="minorEastAsia" w:hAnsiTheme="minorEastAsia" w:hint="eastAsia"/>
          <w:sz w:val="24"/>
        </w:rPr>
        <w:t>依然制约着教学实训课程质量的提高。目前教学设备满意度低的原因有：（1）目前仅有简单的钢琴房、画室、舞蹈室、机电实训室、会计实训室、计算机维修和工商实训室，这些实训</w:t>
      </w:r>
      <w:proofErr w:type="gramStart"/>
      <w:r w:rsidR="00232DD3" w:rsidRPr="00AA2B7D">
        <w:rPr>
          <w:rFonts w:asciiTheme="minorEastAsia" w:eastAsiaTheme="minorEastAsia" w:hAnsiTheme="minorEastAsia" w:hint="eastAsia"/>
          <w:sz w:val="24"/>
        </w:rPr>
        <w:t>室较为</w:t>
      </w:r>
      <w:proofErr w:type="gramEnd"/>
      <w:r w:rsidR="00232DD3" w:rsidRPr="00AA2B7D">
        <w:rPr>
          <w:rFonts w:asciiTheme="minorEastAsia" w:eastAsiaTheme="minorEastAsia" w:hAnsiTheme="minorEastAsia" w:hint="eastAsia"/>
          <w:sz w:val="24"/>
        </w:rPr>
        <w:t>简陋，随着技能培养力度加大，学生规模扩大，其他教学部门也要使用以上教学设施，导致设施设备资源紧张。（2）部分专业尚没有相应的实验实</w:t>
      </w:r>
      <w:proofErr w:type="gramStart"/>
      <w:r w:rsidR="00232DD3" w:rsidRPr="00AA2B7D">
        <w:rPr>
          <w:rFonts w:asciiTheme="minorEastAsia" w:eastAsiaTheme="minorEastAsia" w:hAnsiTheme="minorEastAsia" w:hint="eastAsia"/>
          <w:sz w:val="24"/>
        </w:rPr>
        <w:t>训设施</w:t>
      </w:r>
      <w:proofErr w:type="gramEnd"/>
      <w:r w:rsidR="00232DD3" w:rsidRPr="00AA2B7D">
        <w:rPr>
          <w:rFonts w:asciiTheme="minorEastAsia" w:eastAsiaTheme="minorEastAsia" w:hAnsiTheme="minorEastAsia" w:hint="eastAsia"/>
          <w:sz w:val="24"/>
        </w:rPr>
        <w:t>设备。如建筑专业。这些问题随着今年年底搬迁新校园，整个学校的教学设施设备、硬件条件会有一个实质性的改善，学生满意度也将会得到提高。</w:t>
      </w:r>
    </w:p>
    <w:p w:rsidR="006150AC" w:rsidRPr="00AA2B7D" w:rsidRDefault="006150AC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3、学校就业指导满意度（81.3%）在本次调查中虽然满意度排序不高，但是与2015年调查的结果（77.5%）相比，有较为明显的提高。表明经过一年的努力，学校这两方面的工作有改善和提高，学校就业指导满意度提高不少。</w:t>
      </w:r>
    </w:p>
    <w:p w:rsidR="006150AC" w:rsidRPr="00AA2B7D" w:rsidRDefault="006150AC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存在的问题主要是：（1）中职学院没有建立稳定的学生就业指导管理工作机制，虽然中职学院选择就业的学生不多，但是就业指导工作力度尚不够；（2）教学活动与就业相关性不高，学生职业认同感不高，对自身的职业规划及职业方向不明确，眼高手低；（3）网站上没有位置直接显示就业信息栏目，平时学生不知道到什么地方咨询就业信息；（4）就业指导人手不足，渠道狭窄。</w:t>
      </w:r>
    </w:p>
    <w:p w:rsidR="006150AC" w:rsidRPr="00AA2B7D" w:rsidRDefault="006150AC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改进措施：一是中职学院要加强选择就业学生的就业指导工作，落实专（或兼）职人员做好相应工作；二是在就业信息方面，实行中职学院与高职学院就业信息资源共享制；三是中职学院要加强《职业规划》课程教学工作，改进教学效</w:t>
      </w:r>
      <w:r w:rsidRPr="00AA2B7D">
        <w:rPr>
          <w:rFonts w:asciiTheme="minorEastAsia" w:eastAsiaTheme="minorEastAsia" w:hAnsiTheme="minorEastAsia" w:hint="eastAsia"/>
          <w:sz w:val="24"/>
        </w:rPr>
        <w:lastRenderedPageBreak/>
        <w:t>果；四是高职学院和中职学院在教学、管理中，注重引导学生树立正确的就业观，提高职业素养，改进就业指导工作。</w:t>
      </w:r>
    </w:p>
    <w:p w:rsidR="006150AC" w:rsidRPr="00AA2B7D" w:rsidRDefault="006150AC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4、值得注意的是，本次满意度调查脱产毕业生生对学习氛围满意度偏低（79.0%），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特别是继教院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学生这一项的满意度只有66%，</w:t>
      </w:r>
      <w:proofErr w:type="gramStart"/>
      <w:r w:rsidRPr="00AA2B7D">
        <w:rPr>
          <w:rFonts w:asciiTheme="minorEastAsia" w:eastAsiaTheme="minorEastAsia" w:hAnsiTheme="minorEastAsia" w:hint="eastAsia"/>
          <w:sz w:val="24"/>
        </w:rPr>
        <w:t>说明继教院</w:t>
      </w:r>
      <w:proofErr w:type="gramEnd"/>
      <w:r w:rsidRPr="00AA2B7D">
        <w:rPr>
          <w:rFonts w:asciiTheme="minorEastAsia" w:eastAsiaTheme="minorEastAsia" w:hAnsiTheme="minorEastAsia" w:hint="eastAsia"/>
          <w:sz w:val="24"/>
        </w:rPr>
        <w:t>在教学和管理上存在不足，学院应加强学生工作、教学管理工作、有针对性地开展专本连读学业指导，改善学习氛围</w:t>
      </w:r>
    </w:p>
    <w:p w:rsidR="00232DD3" w:rsidRDefault="006150AC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AA2B7D">
        <w:rPr>
          <w:rFonts w:asciiTheme="minorEastAsia" w:eastAsiaTheme="minorEastAsia" w:hAnsiTheme="minorEastAsia" w:hint="eastAsia"/>
          <w:sz w:val="24"/>
        </w:rPr>
        <w:t>5</w:t>
      </w:r>
      <w:r w:rsidR="00232DD3" w:rsidRPr="00AA2B7D">
        <w:rPr>
          <w:rFonts w:asciiTheme="minorEastAsia" w:eastAsiaTheme="minorEastAsia" w:hAnsiTheme="minorEastAsia" w:hint="eastAsia"/>
          <w:sz w:val="24"/>
        </w:rPr>
        <w:t>、脱产毕业生对对饮食及环境满意度均比去年有所提高，但对住宿条件满意度为75.3%，</w:t>
      </w:r>
      <w:r w:rsidR="00AE0E61" w:rsidRPr="00AA2B7D">
        <w:rPr>
          <w:rFonts w:asciiTheme="minorEastAsia" w:eastAsiaTheme="minorEastAsia" w:hAnsiTheme="minorEastAsia" w:hint="eastAsia"/>
          <w:sz w:val="24"/>
        </w:rPr>
        <w:t>但仍然</w:t>
      </w:r>
      <w:r w:rsidR="00232DD3" w:rsidRPr="00AA2B7D">
        <w:rPr>
          <w:rFonts w:asciiTheme="minorEastAsia" w:eastAsiaTheme="minorEastAsia" w:hAnsiTheme="minorEastAsia" w:hint="eastAsia"/>
          <w:sz w:val="24"/>
        </w:rPr>
        <w:t>是脱产毕业生满意度调查最低值，目前原因是学生宿舍环境比较差，大量改造及升级需要投入大量资金。在搬迁新校园之前尽量把宿舍所反应的问题根据实际情况进行改善，同时加大新校园宿舍的建设步伐</w:t>
      </w:r>
      <w:r w:rsidR="00AE0E61" w:rsidRPr="00AA2B7D">
        <w:rPr>
          <w:rFonts w:asciiTheme="minorEastAsia" w:eastAsiaTheme="minorEastAsia" w:hAnsiTheme="minorEastAsia" w:hint="eastAsia"/>
          <w:sz w:val="24"/>
        </w:rPr>
        <w:t>。</w:t>
      </w:r>
    </w:p>
    <w:p w:rsidR="005B40C0" w:rsidRDefault="005B40C0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</w:p>
    <w:p w:rsidR="00C46086" w:rsidRPr="00AA2B7D" w:rsidRDefault="00C46086" w:rsidP="00AA2B7D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</w:p>
    <w:p w:rsidR="00C46086" w:rsidRPr="001B44B2" w:rsidRDefault="00C46086" w:rsidP="005B40C0">
      <w:pPr>
        <w:spacing w:line="380" w:lineRule="exact"/>
        <w:ind w:right="480" w:firstLineChars="200" w:firstLine="480"/>
        <w:jc w:val="right"/>
        <w:rPr>
          <w:rFonts w:ascii="宋体" w:hAnsi="宋体"/>
          <w:sz w:val="24"/>
        </w:rPr>
      </w:pPr>
      <w:r w:rsidRPr="001B44B2">
        <w:rPr>
          <w:rFonts w:ascii="宋体" w:hAnsi="宋体" w:hint="eastAsia"/>
          <w:sz w:val="24"/>
        </w:rPr>
        <w:t>台州广播电视大学办公室</w:t>
      </w:r>
    </w:p>
    <w:p w:rsidR="00C46086" w:rsidRPr="001B44B2" w:rsidRDefault="00C46086" w:rsidP="005B40C0">
      <w:pPr>
        <w:spacing w:line="380" w:lineRule="exact"/>
        <w:ind w:right="480" w:firstLineChars="200" w:firstLine="480"/>
        <w:jc w:val="right"/>
        <w:rPr>
          <w:rFonts w:ascii="宋体" w:hAnsi="宋体"/>
          <w:sz w:val="24"/>
        </w:rPr>
      </w:pPr>
      <w:r w:rsidRPr="001B44B2">
        <w:rPr>
          <w:rFonts w:ascii="宋体" w:hAnsi="宋体" w:hint="eastAsia"/>
          <w:sz w:val="24"/>
        </w:rPr>
        <w:t>二〇一</w:t>
      </w:r>
      <w:r>
        <w:rPr>
          <w:rFonts w:ascii="宋体" w:hAnsi="宋体" w:hint="eastAsia"/>
          <w:sz w:val="24"/>
        </w:rPr>
        <w:t>六</w:t>
      </w:r>
      <w:r w:rsidRPr="001B44B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五</w:t>
      </w:r>
      <w:r w:rsidRPr="001B44B2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三</w:t>
      </w:r>
      <w:r w:rsidRPr="001B44B2">
        <w:rPr>
          <w:rFonts w:ascii="宋体" w:hAnsi="宋体" w:hint="eastAsia"/>
          <w:sz w:val="24"/>
        </w:rPr>
        <w:t>日</w:t>
      </w:r>
    </w:p>
    <w:p w:rsidR="00102E43" w:rsidRPr="006150AC" w:rsidRDefault="00102E43" w:rsidP="006150AC">
      <w:pPr>
        <w:spacing w:line="40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</w:p>
    <w:sectPr w:rsidR="00102E43" w:rsidRPr="0061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C8" w:rsidRDefault="006770C8" w:rsidP="00F356F8">
      <w:r>
        <w:separator/>
      </w:r>
    </w:p>
  </w:endnote>
  <w:endnote w:type="continuationSeparator" w:id="0">
    <w:p w:rsidR="006770C8" w:rsidRDefault="006770C8" w:rsidP="00F3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C8" w:rsidRDefault="006770C8" w:rsidP="00F356F8">
      <w:r>
        <w:separator/>
      </w:r>
    </w:p>
  </w:footnote>
  <w:footnote w:type="continuationSeparator" w:id="0">
    <w:p w:rsidR="006770C8" w:rsidRDefault="006770C8" w:rsidP="00F3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49"/>
    <w:rsid w:val="00015E17"/>
    <w:rsid w:val="000E4E98"/>
    <w:rsid w:val="00102E43"/>
    <w:rsid w:val="0015138E"/>
    <w:rsid w:val="001F5A30"/>
    <w:rsid w:val="00212D42"/>
    <w:rsid w:val="00232DD3"/>
    <w:rsid w:val="002334CD"/>
    <w:rsid w:val="0023672E"/>
    <w:rsid w:val="00275063"/>
    <w:rsid w:val="00334BE2"/>
    <w:rsid w:val="003D61D0"/>
    <w:rsid w:val="00422058"/>
    <w:rsid w:val="005532C4"/>
    <w:rsid w:val="005B40C0"/>
    <w:rsid w:val="005C2249"/>
    <w:rsid w:val="006150AC"/>
    <w:rsid w:val="00641558"/>
    <w:rsid w:val="006770C8"/>
    <w:rsid w:val="00693882"/>
    <w:rsid w:val="006B378C"/>
    <w:rsid w:val="006E7195"/>
    <w:rsid w:val="007201A9"/>
    <w:rsid w:val="007279CC"/>
    <w:rsid w:val="00760560"/>
    <w:rsid w:val="00786A47"/>
    <w:rsid w:val="007C05F0"/>
    <w:rsid w:val="007F5BB6"/>
    <w:rsid w:val="008626DA"/>
    <w:rsid w:val="008F4D7E"/>
    <w:rsid w:val="00A77284"/>
    <w:rsid w:val="00A93578"/>
    <w:rsid w:val="00AA2B7D"/>
    <w:rsid w:val="00AE0E61"/>
    <w:rsid w:val="00AF5FEE"/>
    <w:rsid w:val="00B705EC"/>
    <w:rsid w:val="00BD7FF6"/>
    <w:rsid w:val="00BF2B3C"/>
    <w:rsid w:val="00C203A4"/>
    <w:rsid w:val="00C46086"/>
    <w:rsid w:val="00DA355F"/>
    <w:rsid w:val="00DD2DCD"/>
    <w:rsid w:val="00EB47AE"/>
    <w:rsid w:val="00F059E5"/>
    <w:rsid w:val="00F0707F"/>
    <w:rsid w:val="00F356F8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532C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53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2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6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532C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53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2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789B-913B-4237-914A-7EC8E9B3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356</Words>
  <Characters>2031</Characters>
  <Application>Microsoft Office Word</Application>
  <DocSecurity>0</DocSecurity>
  <Lines>16</Lines>
  <Paragraphs>4</Paragraphs>
  <ScaleCrop>false</ScaleCrop>
  <Company>微软中国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2016-05-10T07:32:00Z</cp:lastPrinted>
  <dcterms:created xsi:type="dcterms:W3CDTF">2016-04-11T01:12:00Z</dcterms:created>
  <dcterms:modified xsi:type="dcterms:W3CDTF">2016-05-10T07:33:00Z</dcterms:modified>
</cp:coreProperties>
</file>