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43" w:rsidRDefault="00DB24A5" w:rsidP="000427B9">
      <w:pPr>
        <w:pStyle w:val="a3"/>
        <w:jc w:val="center"/>
      </w:pPr>
      <w:r>
        <w:rPr>
          <w:rFonts w:ascii="黑体" w:eastAsia="黑体" w:hAnsi="黑体" w:hint="eastAsia"/>
          <w:sz w:val="44"/>
          <w:szCs w:val="44"/>
        </w:rPr>
        <w:t>台州广播电视大学201</w:t>
      </w:r>
      <w:r w:rsidR="00DD1974">
        <w:rPr>
          <w:rFonts w:ascii="黑体" w:eastAsia="黑体" w:hAnsi="黑体" w:hint="eastAsia"/>
          <w:sz w:val="44"/>
          <w:szCs w:val="44"/>
        </w:rPr>
        <w:t>8</w:t>
      </w:r>
      <w:r>
        <w:rPr>
          <w:rFonts w:ascii="黑体" w:eastAsia="黑体" w:hAnsi="黑体" w:hint="eastAsia"/>
          <w:sz w:val="44"/>
          <w:szCs w:val="44"/>
        </w:rPr>
        <w:t>年度部门决算</w:t>
      </w:r>
    </w:p>
    <w:p w:rsidR="00712143" w:rsidRDefault="00DB24A5">
      <w:pPr>
        <w:pStyle w:val="a3"/>
      </w:pPr>
      <w:r>
        <w:rPr>
          <w:rFonts w:hint="eastAsia"/>
        </w:rPr>
        <w:t> </w:t>
      </w:r>
    </w:p>
    <w:p w:rsidR="00712143" w:rsidRDefault="00DB24A5">
      <w:pPr>
        <w:spacing w:line="600" w:lineRule="atLeast"/>
        <w:ind w:firstLine="640"/>
        <w:jc w:val="both"/>
      </w:pPr>
      <w:r>
        <w:rPr>
          <w:rStyle w:val="a6"/>
          <w:rFonts w:hint="eastAsia"/>
          <w:sz w:val="32"/>
          <w:szCs w:val="32"/>
        </w:rPr>
        <w:t>一、台州广播电视大学单位概况</w:t>
      </w:r>
    </w:p>
    <w:p w:rsidR="00712143" w:rsidRDefault="00DB24A5">
      <w:pPr>
        <w:spacing w:line="600" w:lineRule="atLeast"/>
        <w:ind w:firstLine="640"/>
        <w:jc w:val="both"/>
      </w:pPr>
      <w:r>
        <w:rPr>
          <w:rStyle w:val="a6"/>
          <w:rFonts w:ascii="楷体" w:eastAsia="楷体" w:hAnsi="楷体" w:cs="Arial" w:hint="eastAsia"/>
          <w:sz w:val="32"/>
          <w:szCs w:val="32"/>
        </w:rPr>
        <w:t>（一）主要职能</w:t>
      </w:r>
    </w:p>
    <w:p w:rsidR="00712143" w:rsidRDefault="00DB24A5">
      <w:pPr>
        <w:pStyle w:val="a3"/>
        <w:shd w:val="clear" w:color="auto" w:fill="FCFCFC"/>
        <w:spacing w:before="0" w:beforeAutospacing="0" w:after="0" w:afterAutospacing="0"/>
        <w:ind w:firstLine="480"/>
        <w:rPr>
          <w:rFonts w:ascii="仿宋" w:eastAsia="仿宋" w:hAnsi="仿宋"/>
          <w:sz w:val="32"/>
          <w:szCs w:val="32"/>
        </w:rPr>
      </w:pPr>
      <w:r>
        <w:rPr>
          <w:rFonts w:ascii="仿宋" w:eastAsia="仿宋" w:hAnsi="仿宋" w:hint="eastAsia"/>
          <w:sz w:val="32"/>
          <w:szCs w:val="32"/>
        </w:rPr>
        <w:t>学校行政隶属台州市人民政府，实行分级办学、分级管理的办学体制，上承中央电大、浙江省电大的教学业务指导，下辖临海、温岭、黄岩、玉环、天台、三门、仙居等 7 所县（市、区）电大学院（分校），是一所运用计算机网络、卫星电视等多种教育技术媒体和多种媒体资源进行现代远程开放教育的综合性大学。</w:t>
      </w:r>
    </w:p>
    <w:p w:rsidR="001848D3" w:rsidRPr="001848D3" w:rsidRDefault="001848D3" w:rsidP="001848D3">
      <w:pPr>
        <w:pStyle w:val="a3"/>
        <w:shd w:val="clear" w:color="auto" w:fill="FCFCFC"/>
        <w:spacing w:before="0" w:beforeAutospacing="0" w:after="0" w:afterAutospacing="0"/>
        <w:ind w:firstLine="480"/>
        <w:rPr>
          <w:rFonts w:ascii="仿宋" w:eastAsia="仿宋" w:hAnsi="仿宋"/>
          <w:sz w:val="32"/>
          <w:szCs w:val="32"/>
        </w:rPr>
      </w:pPr>
      <w:r w:rsidRPr="001848D3">
        <w:rPr>
          <w:rFonts w:ascii="仿宋" w:eastAsia="仿宋" w:hAnsi="仿宋" w:hint="eastAsia"/>
          <w:sz w:val="32"/>
          <w:szCs w:val="32"/>
        </w:rPr>
        <w:t>目前市</w:t>
      </w:r>
      <w:proofErr w:type="gramStart"/>
      <w:r w:rsidRPr="001848D3">
        <w:rPr>
          <w:rFonts w:ascii="仿宋" w:eastAsia="仿宋" w:hAnsi="仿宋" w:hint="eastAsia"/>
          <w:sz w:val="32"/>
          <w:szCs w:val="32"/>
        </w:rPr>
        <w:t>校本级</w:t>
      </w:r>
      <w:proofErr w:type="gramEnd"/>
      <w:r w:rsidRPr="001848D3">
        <w:rPr>
          <w:rFonts w:ascii="仿宋" w:eastAsia="仿宋" w:hAnsi="仿宋" w:hint="eastAsia"/>
          <w:sz w:val="32"/>
          <w:szCs w:val="32"/>
        </w:rPr>
        <w:t>在校生14840人，累计开设理、工、文、经、法、管等10大学科70多个本专科专业，通过与浙江大学、中国人民大学等十五所著名高校联办50多个专业的本专科网络远程教育，此外还与浙江大学、东南大学、云南大学、贵州大学等国内知名高校联办硕士研究生教育，许多专业的开设填补了台州高等教育专业上的空白。办学至今，全市电大系统已累计培养本专科毕业生8万余人，非学历培训50多万人次。学校投资近千万元建成一流水平的远程教育硬件设施，搭建了现代远程教育高速平台。坚持“内培外引”政策，引进高职称、高学历人才，积极送培各类研究生学习。原有在编教职工127人，新</w:t>
      </w:r>
      <w:proofErr w:type="gramStart"/>
      <w:r w:rsidRPr="001848D3">
        <w:rPr>
          <w:rFonts w:ascii="仿宋" w:eastAsia="仿宋" w:hAnsi="仿宋" w:hint="eastAsia"/>
          <w:sz w:val="32"/>
          <w:szCs w:val="32"/>
        </w:rPr>
        <w:t>晋职工</w:t>
      </w:r>
      <w:proofErr w:type="gramEnd"/>
      <w:r w:rsidRPr="001848D3">
        <w:rPr>
          <w:rFonts w:ascii="仿宋" w:eastAsia="仿宋" w:hAnsi="仿宋" w:hint="eastAsia"/>
          <w:sz w:val="32"/>
          <w:szCs w:val="32"/>
        </w:rPr>
        <w:t>8人，退休6人，调离5人，现有在编教职工124人。另外，我校已建立一支由100多人组成较稳定的兼职教师队伍，师资力量居全省电大前列。</w:t>
      </w:r>
    </w:p>
    <w:p w:rsidR="001848D3" w:rsidRDefault="001848D3" w:rsidP="001848D3">
      <w:pPr>
        <w:pStyle w:val="a3"/>
        <w:shd w:val="clear" w:color="auto" w:fill="FCFCFC"/>
        <w:spacing w:before="0" w:beforeAutospacing="0" w:after="0" w:afterAutospacing="0"/>
        <w:ind w:firstLine="480"/>
        <w:rPr>
          <w:rFonts w:ascii="仿宋" w:eastAsia="仿宋" w:hAnsi="仿宋"/>
          <w:sz w:val="32"/>
          <w:szCs w:val="32"/>
        </w:rPr>
      </w:pPr>
      <w:r w:rsidRPr="001848D3">
        <w:rPr>
          <w:rFonts w:ascii="仿宋" w:eastAsia="仿宋" w:hAnsi="仿宋" w:hint="eastAsia"/>
          <w:sz w:val="32"/>
          <w:szCs w:val="32"/>
        </w:rPr>
        <w:lastRenderedPageBreak/>
        <w:t>学校是国家开放大学全国第八个教学实验基地，国家开放大学</w:t>
      </w:r>
      <w:proofErr w:type="gramStart"/>
      <w:r w:rsidRPr="001848D3">
        <w:rPr>
          <w:rFonts w:ascii="仿宋" w:eastAsia="仿宋" w:hAnsi="仿宋" w:hint="eastAsia"/>
          <w:sz w:val="32"/>
          <w:szCs w:val="32"/>
        </w:rPr>
        <w:t>奥鹏远程</w:t>
      </w:r>
      <w:proofErr w:type="gramEnd"/>
      <w:r w:rsidRPr="001848D3">
        <w:rPr>
          <w:rFonts w:ascii="仿宋" w:eastAsia="仿宋" w:hAnsi="仿宋" w:hint="eastAsia"/>
          <w:sz w:val="32"/>
          <w:szCs w:val="32"/>
        </w:rPr>
        <w:t>教育公共服务体系全国40家示范学习中心之一，教育部全国20家“数字化学习示范中心”之一，科技部全国39家“数字教育公共服务示范工程”示范点之一和台州市远程教育中心。学校于2005</w:t>
      </w:r>
      <w:r>
        <w:rPr>
          <w:rFonts w:ascii="仿宋" w:eastAsia="仿宋" w:hAnsi="仿宋" w:hint="eastAsia"/>
          <w:sz w:val="32"/>
          <w:szCs w:val="32"/>
        </w:rPr>
        <w:t>年顺利通过</w:t>
      </w:r>
      <w:r w:rsidRPr="001848D3">
        <w:rPr>
          <w:rFonts w:ascii="仿宋" w:eastAsia="仿宋" w:hAnsi="仿宋" w:hint="eastAsia"/>
          <w:sz w:val="32"/>
          <w:szCs w:val="32"/>
        </w:rPr>
        <w:t>ISO9001国际管理质量体系认证。学校还获国家开放大学“教育部‘一村一’农民大学生”试点工作先进办学单位、全省电大系统先进办学集体、浙江省文明单位等荣誉称号。2010年6月，学校被中央电大评定为首批33家全国地市级示范性电大之一，跻身全国一流地市电大行列。</w:t>
      </w:r>
    </w:p>
    <w:p w:rsidR="00DD1974" w:rsidRDefault="00DD1974" w:rsidP="00DD1974">
      <w:pPr>
        <w:spacing w:line="600" w:lineRule="atLeast"/>
        <w:ind w:firstLine="640"/>
        <w:jc w:val="both"/>
        <w:rPr>
          <w:rStyle w:val="a6"/>
          <w:rFonts w:ascii="楷体" w:eastAsia="楷体" w:hAnsi="楷体" w:cs="Arial"/>
          <w:sz w:val="32"/>
          <w:szCs w:val="32"/>
        </w:rPr>
      </w:pPr>
      <w:r w:rsidRPr="00DD1974">
        <w:rPr>
          <w:rStyle w:val="a6"/>
          <w:rFonts w:ascii="楷体" w:eastAsia="楷体" w:hAnsi="楷体" w:cs="Arial" w:hint="eastAsia"/>
          <w:sz w:val="32"/>
          <w:szCs w:val="32"/>
        </w:rPr>
        <w:t>(二)决算信息来源说明</w:t>
      </w:r>
    </w:p>
    <w:p w:rsidR="00DD1974" w:rsidRPr="00DD1974" w:rsidRDefault="00DD1974" w:rsidP="00DD1974">
      <w:pPr>
        <w:ind w:firstLineChars="200" w:firstLine="640"/>
        <w:rPr>
          <w:rFonts w:ascii="仿宋" w:eastAsia="仿宋" w:hAnsi="仿宋"/>
          <w:sz w:val="32"/>
          <w:szCs w:val="32"/>
        </w:rPr>
      </w:pPr>
      <w:r w:rsidRPr="00DD1974">
        <w:rPr>
          <w:rFonts w:ascii="仿宋" w:eastAsia="仿宋" w:hAnsi="仿宋" w:hint="eastAsia"/>
          <w:sz w:val="32"/>
          <w:szCs w:val="32"/>
        </w:rPr>
        <w:t>本套决算依据本单位登记完整、核对无误的账簿记录和其他有关会计核算资料编制，账证相符、账实相符、账表相符、表表相符，真实、准确、完整地反映了本单位预算执行结果和财务状况。</w:t>
      </w:r>
    </w:p>
    <w:p w:rsidR="00DD1974" w:rsidRPr="00DD1974" w:rsidRDefault="00DD1974" w:rsidP="00DD1974">
      <w:pPr>
        <w:ind w:firstLine="480"/>
        <w:rPr>
          <w:rFonts w:ascii="仿宋" w:eastAsia="仿宋" w:hAnsi="仿宋"/>
          <w:sz w:val="32"/>
          <w:szCs w:val="32"/>
        </w:rPr>
      </w:pPr>
      <w:r>
        <w:rPr>
          <w:rFonts w:ascii="仿宋" w:eastAsia="仿宋" w:hAnsi="仿宋" w:hint="eastAsia"/>
          <w:sz w:val="32"/>
          <w:szCs w:val="32"/>
        </w:rPr>
        <w:t>1.</w:t>
      </w:r>
      <w:r w:rsidRPr="00DD1974">
        <w:rPr>
          <w:rFonts w:ascii="仿宋" w:eastAsia="仿宋" w:hAnsi="仿宋" w:hint="eastAsia"/>
          <w:sz w:val="32"/>
          <w:szCs w:val="32"/>
        </w:rPr>
        <w:t>本套决算主表决算数据主要依据本单位会计账簿总账及明细账数据填列，预算数据依据本单位预、决算批复文件及预算调整文件填列。</w:t>
      </w:r>
    </w:p>
    <w:p w:rsidR="00DD1974" w:rsidRPr="00DD1974" w:rsidRDefault="00DD1974" w:rsidP="00DD1974">
      <w:pPr>
        <w:spacing w:line="600" w:lineRule="atLeast"/>
        <w:ind w:firstLine="640"/>
        <w:jc w:val="both"/>
        <w:rPr>
          <w:rFonts w:ascii="仿宋" w:eastAsia="仿宋" w:hAnsi="仿宋"/>
          <w:sz w:val="32"/>
          <w:szCs w:val="32"/>
        </w:rPr>
      </w:pPr>
      <w:r>
        <w:rPr>
          <w:rFonts w:ascii="仿宋" w:eastAsia="仿宋" w:hAnsi="仿宋" w:hint="eastAsia"/>
          <w:sz w:val="32"/>
          <w:szCs w:val="32"/>
        </w:rPr>
        <w:t>2.</w:t>
      </w:r>
      <w:r w:rsidRPr="00DD1974">
        <w:rPr>
          <w:rFonts w:ascii="仿宋" w:eastAsia="仿宋" w:hAnsi="仿宋" w:hint="eastAsia"/>
          <w:sz w:val="32"/>
          <w:szCs w:val="32"/>
        </w:rPr>
        <w:t>本套决算附表数据主要依据本单位资产、</w:t>
      </w:r>
      <w:proofErr w:type="gramStart"/>
      <w:r w:rsidRPr="00DD1974">
        <w:rPr>
          <w:rFonts w:ascii="仿宋" w:eastAsia="仿宋" w:hAnsi="仿宋" w:hint="eastAsia"/>
          <w:sz w:val="32"/>
          <w:szCs w:val="32"/>
        </w:rPr>
        <w:t>人事台账及</w:t>
      </w:r>
      <w:proofErr w:type="gramEnd"/>
      <w:r w:rsidRPr="00DD1974">
        <w:rPr>
          <w:rFonts w:ascii="仿宋" w:eastAsia="仿宋" w:hAnsi="仿宋" w:hint="eastAsia"/>
          <w:sz w:val="32"/>
          <w:szCs w:val="32"/>
        </w:rPr>
        <w:t>相关统计资料填列，其中：“资产情况表”“国有资产收益征缴情况表”依据本单位资产相关会计账簿数据、固定资产管理系统相关数据及有关统计资料填列；“基本数据表”“机构人员情况表”依据本单位</w:t>
      </w:r>
      <w:proofErr w:type="gramStart"/>
      <w:r w:rsidRPr="00DD1974">
        <w:rPr>
          <w:rFonts w:ascii="仿宋" w:eastAsia="仿宋" w:hAnsi="仿宋" w:hint="eastAsia"/>
          <w:sz w:val="32"/>
          <w:szCs w:val="32"/>
        </w:rPr>
        <w:t>人事台</w:t>
      </w:r>
      <w:r w:rsidRPr="00DD1974">
        <w:rPr>
          <w:rFonts w:ascii="仿宋" w:eastAsia="仿宋" w:hAnsi="仿宋" w:hint="eastAsia"/>
          <w:sz w:val="32"/>
          <w:szCs w:val="32"/>
        </w:rPr>
        <w:lastRenderedPageBreak/>
        <w:t>账相关</w:t>
      </w:r>
      <w:proofErr w:type="gramEnd"/>
      <w:r w:rsidRPr="00DD1974">
        <w:rPr>
          <w:rFonts w:ascii="仿宋" w:eastAsia="仿宋" w:hAnsi="仿宋" w:hint="eastAsia"/>
          <w:sz w:val="32"/>
          <w:szCs w:val="32"/>
        </w:rPr>
        <w:t>资料填列；“非税收入征缴情况表”依据本单位非税收</w:t>
      </w:r>
      <w:proofErr w:type="gramStart"/>
      <w:r w:rsidRPr="00DD1974">
        <w:rPr>
          <w:rFonts w:ascii="仿宋" w:eastAsia="仿宋" w:hAnsi="仿宋" w:hint="eastAsia"/>
          <w:sz w:val="32"/>
          <w:szCs w:val="32"/>
        </w:rPr>
        <w:t>入台账及相关</w:t>
      </w:r>
      <w:proofErr w:type="gramEnd"/>
      <w:r w:rsidRPr="00DD1974">
        <w:rPr>
          <w:rFonts w:ascii="仿宋" w:eastAsia="仿宋" w:hAnsi="仿宋" w:hint="eastAsia"/>
          <w:sz w:val="32"/>
          <w:szCs w:val="32"/>
        </w:rPr>
        <w:t>统计资料填列。</w:t>
      </w:r>
    </w:p>
    <w:p w:rsidR="00712143" w:rsidRDefault="00DB24A5">
      <w:pPr>
        <w:spacing w:line="600" w:lineRule="atLeast"/>
        <w:ind w:firstLine="640"/>
        <w:jc w:val="both"/>
      </w:pPr>
      <w:r>
        <w:rPr>
          <w:rStyle w:val="a6"/>
          <w:rFonts w:ascii="楷体" w:eastAsia="楷体" w:hAnsi="楷体" w:cs="Arial" w:hint="eastAsia"/>
          <w:sz w:val="32"/>
          <w:szCs w:val="32"/>
        </w:rPr>
        <w:t>（</w:t>
      </w:r>
      <w:r w:rsidR="00DD1974">
        <w:rPr>
          <w:rStyle w:val="a6"/>
          <w:rFonts w:ascii="楷体" w:eastAsia="楷体" w:hAnsi="楷体" w:cs="Arial" w:hint="eastAsia"/>
          <w:sz w:val="32"/>
          <w:szCs w:val="32"/>
        </w:rPr>
        <w:t>三</w:t>
      </w:r>
      <w:r>
        <w:rPr>
          <w:rStyle w:val="a6"/>
          <w:rFonts w:ascii="楷体" w:eastAsia="楷体" w:hAnsi="楷体" w:cs="Arial" w:hint="eastAsia"/>
          <w:sz w:val="32"/>
          <w:szCs w:val="32"/>
        </w:rPr>
        <w:t>）</w:t>
      </w:r>
      <w:r w:rsidR="00DD1974">
        <w:rPr>
          <w:rStyle w:val="a6"/>
          <w:rFonts w:ascii="楷体" w:eastAsia="楷体" w:hAnsi="楷体" w:cs="Arial" w:hint="eastAsia"/>
          <w:sz w:val="32"/>
          <w:szCs w:val="32"/>
        </w:rPr>
        <w:t>决算编制基本情况</w:t>
      </w:r>
    </w:p>
    <w:p w:rsidR="00DD1974" w:rsidRPr="00DD1974" w:rsidRDefault="00DD1974" w:rsidP="00DD1974">
      <w:pPr>
        <w:ind w:firstLineChars="200" w:firstLine="640"/>
        <w:rPr>
          <w:rFonts w:ascii="仿宋" w:eastAsia="仿宋" w:hAnsi="仿宋"/>
          <w:sz w:val="32"/>
          <w:szCs w:val="32"/>
        </w:rPr>
      </w:pPr>
      <w:r w:rsidRPr="00DD1974">
        <w:rPr>
          <w:rFonts w:ascii="仿宋" w:eastAsia="仿宋" w:hAnsi="仿宋" w:hint="eastAsia"/>
          <w:sz w:val="32"/>
          <w:szCs w:val="32"/>
        </w:rPr>
        <w:t>本单位为台州广播电视大学，所属二级预算单位，单位性质为财政补助事业单位，决算编报类型为单户表，按照高等学校会计制度填报决算数据。</w:t>
      </w:r>
    </w:p>
    <w:p w:rsidR="00DD1974" w:rsidRDefault="00DD1974" w:rsidP="00DD1974">
      <w:pPr>
        <w:spacing w:line="600" w:lineRule="atLeast"/>
        <w:ind w:firstLine="640"/>
        <w:jc w:val="both"/>
        <w:rPr>
          <w:rFonts w:ascii="仿宋" w:eastAsia="仿宋" w:hAnsi="仿宋"/>
          <w:sz w:val="32"/>
          <w:szCs w:val="32"/>
        </w:rPr>
      </w:pPr>
      <w:r>
        <w:rPr>
          <w:rFonts w:ascii="仿宋" w:eastAsia="仿宋" w:hAnsi="仿宋" w:hint="eastAsia"/>
          <w:sz w:val="32"/>
          <w:szCs w:val="32"/>
        </w:rPr>
        <w:t>纳入本套决算编制范围的独立核算单位1</w:t>
      </w:r>
      <w:r w:rsidRPr="00DD1974">
        <w:rPr>
          <w:rFonts w:ascii="仿宋" w:eastAsia="仿宋" w:hAnsi="仿宋" w:hint="eastAsia"/>
          <w:sz w:val="32"/>
          <w:szCs w:val="32"/>
        </w:rPr>
        <w:t>个，比上年增减0个。</w:t>
      </w:r>
    </w:p>
    <w:p w:rsidR="00712143" w:rsidRDefault="00DB24A5" w:rsidP="00DD1974">
      <w:pPr>
        <w:spacing w:line="600" w:lineRule="atLeast"/>
        <w:ind w:firstLine="640"/>
        <w:jc w:val="both"/>
      </w:pPr>
      <w:r>
        <w:rPr>
          <w:rStyle w:val="a6"/>
          <w:rFonts w:hint="eastAsia"/>
          <w:sz w:val="32"/>
          <w:szCs w:val="32"/>
        </w:rPr>
        <w:t>二、台州广播电视大学201</w:t>
      </w:r>
      <w:r w:rsidR="00DD1974">
        <w:rPr>
          <w:rStyle w:val="a6"/>
          <w:rFonts w:hint="eastAsia"/>
          <w:sz w:val="32"/>
          <w:szCs w:val="32"/>
        </w:rPr>
        <w:t>8</w:t>
      </w:r>
      <w:r>
        <w:rPr>
          <w:rStyle w:val="a6"/>
          <w:rFonts w:hint="eastAsia"/>
          <w:sz w:val="32"/>
          <w:szCs w:val="32"/>
        </w:rPr>
        <w:t>年度部门决算公开表</w:t>
      </w:r>
    </w:p>
    <w:p w:rsidR="00712143"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表1 2018年度部门收入支出决算总表</w:t>
      </w:r>
    </w:p>
    <w:p w:rsidR="00F50C41" w:rsidRDefault="00031261" w:rsidP="00031261">
      <w:pPr>
        <w:spacing w:line="600" w:lineRule="atLeast"/>
        <w:jc w:val="both"/>
        <w:rPr>
          <w:rFonts w:ascii="仿宋" w:eastAsia="仿宋" w:hAnsi="仿宋"/>
          <w:sz w:val="32"/>
          <w:szCs w:val="32"/>
        </w:rPr>
      </w:pPr>
      <w:r w:rsidRPr="00031261">
        <w:rPr>
          <w:rFonts w:hint="eastAsia"/>
          <w:noProof/>
        </w:rPr>
        <w:drawing>
          <wp:inline distT="0" distB="0" distL="0" distR="0" wp14:anchorId="6753D577" wp14:editId="16312D72">
            <wp:extent cx="6189345" cy="4563810"/>
            <wp:effectExtent l="0" t="0" r="190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4563810"/>
                    </a:xfrm>
                    <a:prstGeom prst="rect">
                      <a:avLst/>
                    </a:prstGeom>
                    <a:noFill/>
                    <a:ln>
                      <a:noFill/>
                    </a:ln>
                  </pic:spPr>
                </pic:pic>
              </a:graphicData>
            </a:graphic>
          </wp:inline>
        </w:drawing>
      </w:r>
    </w:p>
    <w:p w:rsidR="00F50C41"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表2 2018年度部门收入决算表</w:t>
      </w:r>
    </w:p>
    <w:p w:rsidR="00031261" w:rsidRDefault="00031261">
      <w:pPr>
        <w:spacing w:line="600" w:lineRule="atLeast"/>
        <w:ind w:firstLine="640"/>
        <w:jc w:val="both"/>
        <w:rPr>
          <w:rFonts w:ascii="仿宋" w:eastAsia="仿宋" w:hAnsi="仿宋"/>
          <w:sz w:val="32"/>
          <w:szCs w:val="32"/>
        </w:rPr>
      </w:pPr>
      <w:r w:rsidRPr="00031261">
        <w:rPr>
          <w:rFonts w:hint="eastAsia"/>
          <w:noProof/>
        </w:rPr>
        <w:lastRenderedPageBreak/>
        <w:drawing>
          <wp:inline distT="0" distB="0" distL="0" distR="0" wp14:anchorId="72FCA872" wp14:editId="61D70D81">
            <wp:extent cx="5621036" cy="3062959"/>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263" cy="3061993"/>
                    </a:xfrm>
                    <a:prstGeom prst="rect">
                      <a:avLst/>
                    </a:prstGeom>
                    <a:noFill/>
                    <a:ln>
                      <a:noFill/>
                    </a:ln>
                  </pic:spPr>
                </pic:pic>
              </a:graphicData>
            </a:graphic>
          </wp:inline>
        </w:drawing>
      </w:r>
    </w:p>
    <w:p w:rsidR="00F50C41"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表3 2018年度部门支出决算表</w:t>
      </w:r>
    </w:p>
    <w:p w:rsidR="00A63F9C" w:rsidRPr="00A63F9C" w:rsidRDefault="00A64F88" w:rsidP="00A63F9C">
      <w:pPr>
        <w:spacing w:line="600" w:lineRule="atLeast"/>
        <w:ind w:firstLine="640"/>
        <w:jc w:val="both"/>
        <w:rPr>
          <w:rFonts w:ascii="仿宋" w:eastAsia="仿宋" w:hAnsi="仿宋"/>
          <w:sz w:val="32"/>
          <w:szCs w:val="32"/>
        </w:rPr>
      </w:pPr>
      <w:r w:rsidRPr="00A64F88">
        <w:rPr>
          <w:rFonts w:hint="eastAsia"/>
          <w:noProof/>
        </w:rPr>
        <w:drawing>
          <wp:inline distT="0" distB="0" distL="0" distR="0" wp14:anchorId="2DB1D6F1" wp14:editId="1A8FA1E9">
            <wp:extent cx="5621036" cy="352857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5576" cy="3531424"/>
                    </a:xfrm>
                    <a:prstGeom prst="rect">
                      <a:avLst/>
                    </a:prstGeom>
                    <a:noFill/>
                    <a:ln>
                      <a:noFill/>
                    </a:ln>
                  </pic:spPr>
                </pic:pic>
              </a:graphicData>
            </a:graphic>
          </wp:inline>
        </w:drawing>
      </w:r>
    </w:p>
    <w:p w:rsidR="00F50C41"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表4 2018年度部门财政拨款收入支出决算总表</w:t>
      </w:r>
    </w:p>
    <w:p w:rsidR="00A64F88" w:rsidRDefault="00B528C1">
      <w:pPr>
        <w:spacing w:line="600" w:lineRule="atLeast"/>
        <w:ind w:firstLine="640"/>
        <w:jc w:val="both"/>
        <w:rPr>
          <w:rFonts w:ascii="仿宋" w:eastAsia="仿宋" w:hAnsi="仿宋"/>
          <w:sz w:val="32"/>
          <w:szCs w:val="32"/>
        </w:rPr>
      </w:pPr>
      <w:r w:rsidRPr="00B528C1">
        <w:rPr>
          <w:rFonts w:hint="eastAsia"/>
          <w:noProof/>
        </w:rPr>
        <w:lastRenderedPageBreak/>
        <w:drawing>
          <wp:inline distT="0" distB="0" distL="0" distR="0" wp14:anchorId="1C9E0E62" wp14:editId="769A8404">
            <wp:extent cx="5733232" cy="2866616"/>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484" cy="2867242"/>
                    </a:xfrm>
                    <a:prstGeom prst="rect">
                      <a:avLst/>
                    </a:prstGeom>
                    <a:noFill/>
                    <a:ln>
                      <a:noFill/>
                    </a:ln>
                  </pic:spPr>
                </pic:pic>
              </a:graphicData>
            </a:graphic>
          </wp:inline>
        </w:drawing>
      </w:r>
    </w:p>
    <w:p w:rsidR="00F50C41"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表5 2018年度部门一般公共预算财政拨款支出决算表</w:t>
      </w:r>
    </w:p>
    <w:p w:rsidR="00B528C1" w:rsidRDefault="00E87CE9">
      <w:pPr>
        <w:spacing w:line="600" w:lineRule="atLeast"/>
        <w:ind w:firstLine="640"/>
        <w:jc w:val="both"/>
        <w:rPr>
          <w:rFonts w:ascii="仿宋" w:eastAsia="仿宋" w:hAnsi="仿宋"/>
          <w:sz w:val="32"/>
          <w:szCs w:val="32"/>
        </w:rPr>
      </w:pPr>
      <w:r w:rsidRPr="00E87CE9">
        <w:rPr>
          <w:rFonts w:hint="eastAsia"/>
          <w:noProof/>
        </w:rPr>
        <w:drawing>
          <wp:inline distT="0" distB="0" distL="0" distR="0" wp14:anchorId="080363CC" wp14:editId="05182DFA">
            <wp:extent cx="5733232" cy="4162483"/>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244" cy="4163218"/>
                    </a:xfrm>
                    <a:prstGeom prst="rect">
                      <a:avLst/>
                    </a:prstGeom>
                    <a:noFill/>
                    <a:ln>
                      <a:noFill/>
                    </a:ln>
                  </pic:spPr>
                </pic:pic>
              </a:graphicData>
            </a:graphic>
          </wp:inline>
        </w:drawing>
      </w:r>
    </w:p>
    <w:p w:rsidR="00F50C41" w:rsidRPr="00D76C18"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表6 2018年度部门一般公共预算财政拨款基本支出决算表</w:t>
      </w:r>
    </w:p>
    <w:p w:rsidR="00B528C1" w:rsidRDefault="00E87CE9">
      <w:pPr>
        <w:spacing w:line="600" w:lineRule="atLeast"/>
        <w:ind w:firstLine="640"/>
        <w:jc w:val="both"/>
        <w:rPr>
          <w:rFonts w:ascii="仿宋" w:eastAsia="仿宋" w:hAnsi="仿宋"/>
          <w:sz w:val="32"/>
          <w:szCs w:val="32"/>
        </w:rPr>
      </w:pPr>
      <w:r w:rsidRPr="00E87CE9">
        <w:rPr>
          <w:rFonts w:hint="eastAsia"/>
          <w:noProof/>
        </w:rPr>
        <w:lastRenderedPageBreak/>
        <w:drawing>
          <wp:inline distT="0" distB="0" distL="0" distR="0" wp14:anchorId="374D1394" wp14:editId="22F4D8A7">
            <wp:extent cx="5463961" cy="3651990"/>
            <wp:effectExtent l="0" t="0" r="381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6912" cy="3653962"/>
                    </a:xfrm>
                    <a:prstGeom prst="rect">
                      <a:avLst/>
                    </a:prstGeom>
                    <a:noFill/>
                    <a:ln>
                      <a:noFill/>
                    </a:ln>
                  </pic:spPr>
                </pic:pic>
              </a:graphicData>
            </a:graphic>
          </wp:inline>
        </w:drawing>
      </w:r>
    </w:p>
    <w:p w:rsidR="00F50C41" w:rsidRDefault="00F50C41" w:rsidP="00D76C18">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w:t>
      </w:r>
      <w:r w:rsidR="00A63F9C">
        <w:rPr>
          <w:rFonts w:ascii="仿宋" w:eastAsia="仿宋" w:hAnsi="仿宋" w:hint="eastAsia"/>
          <w:sz w:val="21"/>
          <w:szCs w:val="21"/>
        </w:rPr>
        <w:t>7</w:t>
      </w:r>
      <w:r w:rsidRPr="00D76C18">
        <w:rPr>
          <w:rFonts w:ascii="仿宋" w:eastAsia="仿宋" w:hAnsi="仿宋" w:hint="eastAsia"/>
          <w:sz w:val="21"/>
          <w:szCs w:val="21"/>
        </w:rPr>
        <w:t xml:space="preserve"> 2018年度部门政府性基金预算财政拨款收入支出决算表</w:t>
      </w:r>
    </w:p>
    <w:p w:rsidR="00A63F9C" w:rsidRDefault="00A63F9C" w:rsidP="00A63F9C">
      <w:pPr>
        <w:spacing w:line="600" w:lineRule="atLeast"/>
        <w:ind w:firstLine="640"/>
        <w:rPr>
          <w:rFonts w:ascii="仿宋" w:eastAsia="仿宋" w:hAnsi="仿宋"/>
          <w:sz w:val="21"/>
          <w:szCs w:val="21"/>
        </w:rPr>
      </w:pPr>
      <w:r w:rsidRPr="00A63F9C">
        <w:rPr>
          <w:rFonts w:hint="eastAsia"/>
          <w:noProof/>
        </w:rPr>
        <w:drawing>
          <wp:inline distT="0" distB="0" distL="0" distR="0" wp14:anchorId="381FCD6E" wp14:editId="3718D3E5">
            <wp:extent cx="5312496" cy="2058803"/>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2228" cy="2058699"/>
                    </a:xfrm>
                    <a:prstGeom prst="rect">
                      <a:avLst/>
                    </a:prstGeom>
                    <a:noFill/>
                    <a:ln>
                      <a:noFill/>
                    </a:ln>
                  </pic:spPr>
                </pic:pic>
              </a:graphicData>
            </a:graphic>
          </wp:inline>
        </w:drawing>
      </w:r>
    </w:p>
    <w:p w:rsidR="00A63F9C" w:rsidRDefault="00A63F9C" w:rsidP="00A63F9C">
      <w:pPr>
        <w:spacing w:line="600" w:lineRule="atLeast"/>
        <w:ind w:firstLine="640"/>
        <w:jc w:val="center"/>
        <w:rPr>
          <w:rFonts w:ascii="仿宋" w:eastAsia="仿宋" w:hAnsi="仿宋"/>
          <w:sz w:val="21"/>
          <w:szCs w:val="21"/>
        </w:rPr>
      </w:pPr>
      <w:r w:rsidRPr="00D76C18">
        <w:rPr>
          <w:rFonts w:ascii="仿宋" w:eastAsia="仿宋" w:hAnsi="仿宋" w:hint="eastAsia"/>
          <w:sz w:val="21"/>
          <w:szCs w:val="21"/>
        </w:rPr>
        <w:t>表</w:t>
      </w:r>
      <w:r>
        <w:rPr>
          <w:rFonts w:ascii="仿宋" w:eastAsia="仿宋" w:hAnsi="仿宋" w:hint="eastAsia"/>
          <w:sz w:val="21"/>
          <w:szCs w:val="21"/>
        </w:rPr>
        <w:t>8</w:t>
      </w:r>
      <w:r w:rsidRPr="00D76C18">
        <w:rPr>
          <w:rFonts w:ascii="仿宋" w:eastAsia="仿宋" w:hAnsi="仿宋" w:hint="eastAsia"/>
          <w:sz w:val="21"/>
          <w:szCs w:val="21"/>
        </w:rPr>
        <w:t xml:space="preserve"> 2018年度部门</w:t>
      </w:r>
      <w:r w:rsidR="00786704">
        <w:rPr>
          <w:rFonts w:ascii="仿宋" w:eastAsia="仿宋" w:hAnsi="仿宋" w:hint="eastAsia"/>
          <w:sz w:val="21"/>
          <w:szCs w:val="21"/>
        </w:rPr>
        <w:t>决算相关信息统计表</w:t>
      </w:r>
    </w:p>
    <w:p w:rsidR="00A63F9C" w:rsidRDefault="00A63F9C" w:rsidP="000427B9">
      <w:pPr>
        <w:spacing w:line="600" w:lineRule="atLeast"/>
        <w:ind w:firstLine="640"/>
        <w:rPr>
          <w:rFonts w:ascii="仿宋" w:eastAsia="仿宋" w:hAnsi="仿宋"/>
          <w:sz w:val="21"/>
          <w:szCs w:val="21"/>
        </w:rPr>
      </w:pPr>
      <w:r w:rsidRPr="00A63F9C">
        <w:rPr>
          <w:rFonts w:hint="eastAsia"/>
          <w:noProof/>
        </w:rPr>
        <w:lastRenderedPageBreak/>
        <w:drawing>
          <wp:inline distT="0" distB="0" distL="0" distR="0" wp14:anchorId="4C5B525B" wp14:editId="66734912">
            <wp:extent cx="5570547" cy="45551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058" cy="4554770"/>
                    </a:xfrm>
                    <a:prstGeom prst="rect">
                      <a:avLst/>
                    </a:prstGeom>
                    <a:noFill/>
                    <a:ln>
                      <a:noFill/>
                    </a:ln>
                  </pic:spPr>
                </pic:pic>
              </a:graphicData>
            </a:graphic>
          </wp:inline>
        </w:drawing>
      </w:r>
    </w:p>
    <w:p w:rsidR="000427B9" w:rsidRPr="00A63F9C" w:rsidRDefault="000427B9" w:rsidP="000427B9">
      <w:pPr>
        <w:spacing w:line="600" w:lineRule="atLeast"/>
        <w:ind w:firstLine="640"/>
        <w:rPr>
          <w:rFonts w:ascii="仿宋" w:eastAsia="仿宋" w:hAnsi="仿宋"/>
          <w:sz w:val="21"/>
          <w:szCs w:val="21"/>
        </w:rPr>
      </w:pPr>
    </w:p>
    <w:p w:rsidR="00712143" w:rsidRDefault="00DB24A5">
      <w:pPr>
        <w:spacing w:line="600" w:lineRule="atLeast"/>
        <w:ind w:firstLine="640"/>
        <w:jc w:val="both"/>
      </w:pPr>
      <w:r>
        <w:rPr>
          <w:rStyle w:val="a6"/>
          <w:rFonts w:hint="eastAsia"/>
          <w:sz w:val="32"/>
          <w:szCs w:val="32"/>
        </w:rPr>
        <w:t>三、台州广播电视大学201</w:t>
      </w:r>
      <w:r w:rsidR="00DD1974">
        <w:rPr>
          <w:rStyle w:val="a6"/>
          <w:rFonts w:hint="eastAsia"/>
          <w:sz w:val="32"/>
          <w:szCs w:val="32"/>
        </w:rPr>
        <w:t>8</w:t>
      </w:r>
      <w:r>
        <w:rPr>
          <w:rStyle w:val="a6"/>
          <w:rFonts w:hint="eastAsia"/>
          <w:sz w:val="32"/>
          <w:szCs w:val="32"/>
        </w:rPr>
        <w:t>年度部门决算情况说明</w:t>
      </w:r>
    </w:p>
    <w:p w:rsidR="00712143" w:rsidRPr="00E226A1" w:rsidRDefault="00DB24A5">
      <w:pPr>
        <w:spacing w:line="600" w:lineRule="atLeast"/>
        <w:ind w:firstLine="640"/>
        <w:jc w:val="both"/>
      </w:pPr>
      <w:r w:rsidRPr="00E226A1">
        <w:rPr>
          <w:rStyle w:val="a6"/>
          <w:rFonts w:ascii="楷体" w:eastAsia="楷体" w:hAnsi="楷体" w:cs="Arial" w:hint="eastAsia"/>
          <w:sz w:val="32"/>
          <w:szCs w:val="32"/>
        </w:rPr>
        <w:t>（一）收入支出决算总体情况说明</w:t>
      </w:r>
    </w:p>
    <w:p w:rsidR="00712143" w:rsidRPr="00E226A1" w:rsidRDefault="00DB24A5">
      <w:pPr>
        <w:spacing w:line="600" w:lineRule="atLeast"/>
        <w:ind w:firstLine="640"/>
        <w:jc w:val="both"/>
      </w:pPr>
      <w:r w:rsidRPr="00E226A1">
        <w:rPr>
          <w:rFonts w:ascii="仿宋" w:eastAsia="仿宋" w:hAnsi="仿宋" w:hint="eastAsia"/>
          <w:sz w:val="32"/>
          <w:szCs w:val="32"/>
        </w:rPr>
        <w:t>台州广播电视大学单位201</w:t>
      </w:r>
      <w:r w:rsidR="00E226A1" w:rsidRPr="00E226A1">
        <w:rPr>
          <w:rFonts w:ascii="仿宋" w:eastAsia="仿宋" w:hAnsi="仿宋" w:hint="eastAsia"/>
          <w:sz w:val="32"/>
          <w:szCs w:val="32"/>
        </w:rPr>
        <w:t>8</w:t>
      </w:r>
      <w:r w:rsidRPr="00E226A1">
        <w:rPr>
          <w:rFonts w:ascii="仿宋" w:eastAsia="仿宋" w:hAnsi="仿宋" w:hint="eastAsia"/>
          <w:sz w:val="32"/>
          <w:szCs w:val="32"/>
        </w:rPr>
        <w:t>年度收、支总计</w:t>
      </w:r>
      <w:r w:rsidR="00E226A1" w:rsidRPr="00E226A1">
        <w:rPr>
          <w:rFonts w:ascii="仿宋" w:eastAsia="仿宋" w:hAnsi="仿宋" w:hint="eastAsia"/>
          <w:sz w:val="32"/>
          <w:szCs w:val="32"/>
        </w:rPr>
        <w:t>11339.35</w:t>
      </w:r>
      <w:r w:rsidRPr="00E226A1">
        <w:rPr>
          <w:rFonts w:ascii="仿宋" w:eastAsia="仿宋" w:hAnsi="仿宋" w:hint="eastAsia"/>
          <w:sz w:val="32"/>
          <w:szCs w:val="32"/>
        </w:rPr>
        <w:t>万元。与201</w:t>
      </w:r>
      <w:r w:rsidR="00E226A1" w:rsidRPr="00E226A1">
        <w:rPr>
          <w:rFonts w:ascii="仿宋" w:eastAsia="仿宋" w:hAnsi="仿宋" w:hint="eastAsia"/>
          <w:sz w:val="32"/>
          <w:szCs w:val="32"/>
        </w:rPr>
        <w:t>7</w:t>
      </w:r>
      <w:r w:rsidRPr="00E226A1">
        <w:rPr>
          <w:rFonts w:ascii="仿宋" w:eastAsia="仿宋" w:hAnsi="仿宋" w:hint="eastAsia"/>
          <w:sz w:val="32"/>
          <w:szCs w:val="32"/>
        </w:rPr>
        <w:t>年相比，收、支总计</w:t>
      </w:r>
      <w:r w:rsidR="00E226A1" w:rsidRPr="00E226A1">
        <w:rPr>
          <w:rFonts w:ascii="仿宋" w:eastAsia="仿宋" w:hAnsi="仿宋" w:hint="eastAsia"/>
          <w:sz w:val="32"/>
          <w:szCs w:val="32"/>
        </w:rPr>
        <w:t>增加5007.87</w:t>
      </w:r>
      <w:r w:rsidRPr="00E226A1">
        <w:rPr>
          <w:rFonts w:ascii="仿宋" w:eastAsia="仿宋" w:hAnsi="仿宋" w:hint="eastAsia"/>
          <w:sz w:val="32"/>
          <w:szCs w:val="32"/>
        </w:rPr>
        <w:t>万元，</w:t>
      </w:r>
      <w:r w:rsidR="00E226A1" w:rsidRPr="00E226A1">
        <w:rPr>
          <w:rFonts w:ascii="仿宋" w:eastAsia="仿宋" w:hAnsi="仿宋" w:hint="eastAsia"/>
          <w:sz w:val="32"/>
          <w:szCs w:val="32"/>
        </w:rPr>
        <w:t>增加</w:t>
      </w:r>
      <w:r w:rsidRPr="00E226A1">
        <w:rPr>
          <w:rFonts w:ascii="仿宋" w:eastAsia="仿宋" w:hAnsi="仿宋" w:hint="eastAsia"/>
          <w:sz w:val="32"/>
          <w:szCs w:val="32"/>
        </w:rPr>
        <w:t xml:space="preserve"> </w:t>
      </w:r>
      <w:r w:rsidR="00E226A1" w:rsidRPr="00E226A1">
        <w:rPr>
          <w:rFonts w:ascii="仿宋" w:eastAsia="仿宋" w:hAnsi="仿宋" w:hint="eastAsia"/>
          <w:sz w:val="32"/>
          <w:szCs w:val="32"/>
        </w:rPr>
        <w:t>79</w:t>
      </w:r>
      <w:r w:rsidRPr="00E226A1">
        <w:rPr>
          <w:rFonts w:ascii="仿宋" w:eastAsia="仿宋" w:hAnsi="仿宋" w:hint="eastAsia"/>
          <w:sz w:val="32"/>
          <w:szCs w:val="32"/>
        </w:rPr>
        <w:t>%。主要是基本建设类项目</w:t>
      </w:r>
      <w:r w:rsidR="00E226A1" w:rsidRPr="00E226A1">
        <w:rPr>
          <w:rFonts w:ascii="仿宋" w:eastAsia="仿宋" w:hAnsi="仿宋" w:hint="eastAsia"/>
          <w:sz w:val="32"/>
          <w:szCs w:val="32"/>
        </w:rPr>
        <w:t>增加</w:t>
      </w:r>
      <w:r w:rsidRPr="00E226A1">
        <w:rPr>
          <w:rFonts w:ascii="仿宋" w:eastAsia="仿宋" w:hAnsi="仿宋" w:hint="eastAsia"/>
          <w:sz w:val="32"/>
          <w:szCs w:val="32"/>
        </w:rPr>
        <w:t>了</w:t>
      </w:r>
      <w:r w:rsidR="00E226A1" w:rsidRPr="00E226A1">
        <w:rPr>
          <w:rFonts w:ascii="仿宋" w:eastAsia="仿宋" w:hAnsi="仿宋" w:hint="eastAsia"/>
          <w:sz w:val="32"/>
          <w:szCs w:val="32"/>
        </w:rPr>
        <w:t>4102.55</w:t>
      </w:r>
      <w:r w:rsidRPr="00E226A1">
        <w:rPr>
          <w:rFonts w:ascii="仿宋" w:eastAsia="仿宋" w:hAnsi="仿宋" w:hint="eastAsia"/>
          <w:sz w:val="32"/>
          <w:szCs w:val="32"/>
        </w:rPr>
        <w:t>万元，年末结转结余数</w:t>
      </w:r>
      <w:r w:rsidR="00E226A1" w:rsidRPr="00E226A1">
        <w:rPr>
          <w:rFonts w:ascii="仿宋" w:eastAsia="仿宋" w:hAnsi="仿宋" w:hint="eastAsia"/>
          <w:sz w:val="32"/>
          <w:szCs w:val="32"/>
        </w:rPr>
        <w:t>32.58</w:t>
      </w:r>
      <w:r w:rsidRPr="00E226A1">
        <w:rPr>
          <w:rFonts w:ascii="仿宋" w:eastAsia="仿宋" w:hAnsi="仿宋" w:hint="eastAsia"/>
          <w:sz w:val="32"/>
          <w:szCs w:val="32"/>
        </w:rPr>
        <w:t>万元。</w:t>
      </w:r>
    </w:p>
    <w:p w:rsidR="00712143" w:rsidRPr="00786704" w:rsidRDefault="00DB24A5">
      <w:pPr>
        <w:spacing w:line="600" w:lineRule="atLeast"/>
        <w:ind w:firstLine="640"/>
        <w:jc w:val="both"/>
      </w:pPr>
      <w:r w:rsidRPr="00786704">
        <w:rPr>
          <w:rStyle w:val="a6"/>
          <w:rFonts w:ascii="楷体" w:eastAsia="楷体" w:hAnsi="楷体" w:cs="Arial" w:hint="eastAsia"/>
          <w:sz w:val="32"/>
          <w:szCs w:val="32"/>
        </w:rPr>
        <w:t>（二）收入决算情况说明</w:t>
      </w:r>
    </w:p>
    <w:p w:rsidR="00712143" w:rsidRPr="00786704" w:rsidRDefault="00DB24A5">
      <w:pPr>
        <w:spacing w:line="600" w:lineRule="atLeast"/>
        <w:ind w:firstLine="640"/>
        <w:jc w:val="both"/>
      </w:pPr>
      <w:r w:rsidRPr="00786704">
        <w:rPr>
          <w:rFonts w:ascii="仿宋" w:eastAsia="仿宋" w:hAnsi="仿宋" w:hint="eastAsia"/>
          <w:sz w:val="32"/>
          <w:szCs w:val="32"/>
        </w:rPr>
        <w:t>本年收入合计</w:t>
      </w:r>
      <w:r w:rsidR="00E226A1" w:rsidRPr="00786704">
        <w:rPr>
          <w:rFonts w:ascii="仿宋" w:eastAsia="仿宋" w:hAnsi="仿宋" w:hint="eastAsia"/>
          <w:sz w:val="32"/>
          <w:szCs w:val="32"/>
        </w:rPr>
        <w:t>11286.41</w:t>
      </w:r>
      <w:r w:rsidRPr="00786704">
        <w:rPr>
          <w:rFonts w:ascii="仿宋" w:eastAsia="仿宋" w:hAnsi="仿宋" w:hint="eastAsia"/>
          <w:sz w:val="32"/>
          <w:szCs w:val="32"/>
        </w:rPr>
        <w:t>万元，包括财政拨款收入</w:t>
      </w:r>
      <w:bookmarkStart w:id="0" w:name="_GoBack"/>
      <w:bookmarkEnd w:id="0"/>
      <w:r w:rsidR="00E226A1" w:rsidRPr="00786704">
        <w:rPr>
          <w:rFonts w:ascii="仿宋" w:eastAsia="仿宋" w:hAnsi="仿宋" w:hint="eastAsia"/>
          <w:sz w:val="32"/>
          <w:szCs w:val="32"/>
        </w:rPr>
        <w:t>3335.87</w:t>
      </w:r>
      <w:r w:rsidRPr="00786704">
        <w:rPr>
          <w:rFonts w:ascii="仿宋" w:eastAsia="仿宋" w:hAnsi="仿宋" w:hint="eastAsia"/>
          <w:sz w:val="32"/>
          <w:szCs w:val="32"/>
        </w:rPr>
        <w:t>万元（其中，一般公共预算</w:t>
      </w:r>
      <w:r w:rsidR="00786704" w:rsidRPr="00786704">
        <w:rPr>
          <w:rFonts w:ascii="仿宋" w:eastAsia="仿宋" w:hAnsi="仿宋" w:hint="eastAsia"/>
          <w:sz w:val="32"/>
          <w:szCs w:val="32"/>
        </w:rPr>
        <w:t>3335.87</w:t>
      </w:r>
      <w:r w:rsidRPr="00786704">
        <w:rPr>
          <w:rFonts w:ascii="仿宋" w:eastAsia="仿宋" w:hAnsi="仿宋" w:hint="eastAsia"/>
          <w:sz w:val="32"/>
          <w:szCs w:val="32"/>
        </w:rPr>
        <w:t>万元，政府性基金预算0万元），占</w:t>
      </w:r>
      <w:r w:rsidR="00786704" w:rsidRPr="00786704">
        <w:rPr>
          <w:rFonts w:ascii="仿宋" w:eastAsia="仿宋" w:hAnsi="仿宋" w:hint="eastAsia"/>
          <w:sz w:val="32"/>
          <w:szCs w:val="32"/>
        </w:rPr>
        <w:t>29.56</w:t>
      </w:r>
      <w:r w:rsidRPr="00786704">
        <w:rPr>
          <w:rFonts w:ascii="仿宋" w:eastAsia="仿宋" w:hAnsi="仿宋" w:hint="eastAsia"/>
          <w:sz w:val="32"/>
          <w:szCs w:val="32"/>
        </w:rPr>
        <w:t>%；事业单位专户资金</w:t>
      </w:r>
      <w:r w:rsidR="00786704" w:rsidRPr="00786704">
        <w:rPr>
          <w:rFonts w:ascii="仿宋" w:eastAsia="仿宋" w:hAnsi="仿宋" w:hint="eastAsia"/>
          <w:sz w:val="32"/>
          <w:szCs w:val="32"/>
        </w:rPr>
        <w:t>3847.99</w:t>
      </w:r>
      <w:r w:rsidRPr="00786704">
        <w:rPr>
          <w:rFonts w:ascii="仿宋" w:eastAsia="仿宋" w:hAnsi="仿宋" w:hint="eastAsia"/>
          <w:sz w:val="32"/>
          <w:szCs w:val="32"/>
        </w:rPr>
        <w:t>万元，占</w:t>
      </w:r>
      <w:r w:rsidR="00786704" w:rsidRPr="00786704">
        <w:rPr>
          <w:rFonts w:ascii="仿宋" w:eastAsia="仿宋" w:hAnsi="仿宋" w:hint="eastAsia"/>
          <w:sz w:val="32"/>
          <w:szCs w:val="32"/>
        </w:rPr>
        <w:t>34.09</w:t>
      </w:r>
      <w:r w:rsidRPr="00786704">
        <w:rPr>
          <w:rFonts w:ascii="仿宋" w:eastAsia="仿宋" w:hAnsi="仿宋" w:hint="eastAsia"/>
          <w:sz w:val="32"/>
          <w:szCs w:val="32"/>
        </w:rPr>
        <w:t>%；事业收入（不</w:t>
      </w:r>
      <w:r w:rsidRPr="00786704">
        <w:rPr>
          <w:rFonts w:ascii="仿宋" w:eastAsia="仿宋" w:hAnsi="仿宋" w:hint="eastAsia"/>
          <w:sz w:val="32"/>
          <w:szCs w:val="32"/>
        </w:rPr>
        <w:lastRenderedPageBreak/>
        <w:t>含专户资金）0万元，占0%；事业单位经营收入0万元，占0%；其他收入</w:t>
      </w:r>
      <w:r w:rsidR="00786704" w:rsidRPr="00786704">
        <w:rPr>
          <w:rFonts w:ascii="仿宋" w:eastAsia="仿宋" w:hAnsi="仿宋" w:hint="eastAsia"/>
          <w:sz w:val="32"/>
          <w:szCs w:val="32"/>
        </w:rPr>
        <w:t>4102.5</w:t>
      </w:r>
      <w:r w:rsidR="00786704">
        <w:rPr>
          <w:rFonts w:ascii="仿宋" w:eastAsia="仿宋" w:hAnsi="仿宋" w:hint="eastAsia"/>
          <w:sz w:val="32"/>
          <w:szCs w:val="32"/>
        </w:rPr>
        <w:t>5</w:t>
      </w:r>
      <w:r w:rsidRPr="00786704">
        <w:rPr>
          <w:rFonts w:ascii="仿宋" w:eastAsia="仿宋" w:hAnsi="仿宋" w:hint="eastAsia"/>
          <w:sz w:val="32"/>
          <w:szCs w:val="32"/>
        </w:rPr>
        <w:t>万元，占</w:t>
      </w:r>
      <w:r w:rsidR="00786704" w:rsidRPr="00786704">
        <w:rPr>
          <w:rFonts w:ascii="仿宋" w:eastAsia="仿宋" w:hAnsi="仿宋" w:hint="eastAsia"/>
          <w:sz w:val="32"/>
          <w:szCs w:val="32"/>
        </w:rPr>
        <w:t>36.35</w:t>
      </w:r>
      <w:r w:rsidRPr="00786704">
        <w:rPr>
          <w:rFonts w:ascii="仿宋" w:eastAsia="仿宋" w:hAnsi="仿宋" w:hint="eastAsia"/>
          <w:sz w:val="32"/>
          <w:szCs w:val="32"/>
        </w:rPr>
        <w:t>%。上级补助收入0万元，占0%。附属单位上缴收入0万元，占0%。</w:t>
      </w:r>
    </w:p>
    <w:p w:rsidR="00712143" w:rsidRPr="00786704" w:rsidRDefault="00DB24A5">
      <w:pPr>
        <w:spacing w:line="600" w:lineRule="atLeast"/>
        <w:ind w:firstLine="640"/>
        <w:jc w:val="both"/>
      </w:pPr>
      <w:r w:rsidRPr="00786704">
        <w:rPr>
          <w:rStyle w:val="a6"/>
          <w:rFonts w:ascii="楷体" w:eastAsia="楷体" w:hAnsi="楷体" w:cs="Arial" w:hint="eastAsia"/>
          <w:sz w:val="32"/>
          <w:szCs w:val="32"/>
        </w:rPr>
        <w:t>（三）支出决算情况说明</w:t>
      </w:r>
    </w:p>
    <w:p w:rsidR="00712143" w:rsidRPr="00786704" w:rsidRDefault="00DB24A5">
      <w:pPr>
        <w:spacing w:line="600" w:lineRule="atLeast"/>
        <w:ind w:firstLine="640"/>
        <w:jc w:val="both"/>
      </w:pPr>
      <w:r w:rsidRPr="00786704">
        <w:rPr>
          <w:rFonts w:ascii="仿宋" w:eastAsia="仿宋" w:hAnsi="仿宋" w:hint="eastAsia"/>
          <w:sz w:val="32"/>
          <w:szCs w:val="32"/>
        </w:rPr>
        <w:t>本年支出合计</w:t>
      </w:r>
      <w:r w:rsidR="00786704" w:rsidRPr="00786704">
        <w:rPr>
          <w:rFonts w:ascii="仿宋" w:eastAsia="仿宋" w:hAnsi="仿宋" w:hint="eastAsia"/>
          <w:sz w:val="32"/>
          <w:szCs w:val="32"/>
        </w:rPr>
        <w:t>11306.77</w:t>
      </w:r>
      <w:r w:rsidRPr="00786704">
        <w:rPr>
          <w:rFonts w:ascii="仿宋" w:eastAsia="仿宋" w:hAnsi="仿宋" w:hint="eastAsia"/>
          <w:sz w:val="32"/>
          <w:szCs w:val="32"/>
        </w:rPr>
        <w:t>万元，其中基本支出</w:t>
      </w:r>
      <w:r w:rsidR="00786704" w:rsidRPr="00786704">
        <w:rPr>
          <w:rFonts w:ascii="仿宋" w:eastAsia="仿宋" w:hAnsi="仿宋" w:hint="eastAsia"/>
          <w:sz w:val="32"/>
          <w:szCs w:val="32"/>
        </w:rPr>
        <w:t>4667.57</w:t>
      </w:r>
      <w:r w:rsidRPr="00786704">
        <w:rPr>
          <w:rFonts w:ascii="仿宋" w:eastAsia="仿宋" w:hAnsi="仿宋" w:hint="eastAsia"/>
          <w:sz w:val="32"/>
          <w:szCs w:val="32"/>
        </w:rPr>
        <w:t>万元，占</w:t>
      </w:r>
      <w:r w:rsidR="00786704" w:rsidRPr="00786704">
        <w:rPr>
          <w:rFonts w:ascii="仿宋" w:eastAsia="仿宋" w:hAnsi="仿宋" w:hint="eastAsia"/>
          <w:sz w:val="32"/>
          <w:szCs w:val="32"/>
        </w:rPr>
        <w:t>41.28</w:t>
      </w:r>
      <w:r w:rsidRPr="00786704">
        <w:rPr>
          <w:rFonts w:ascii="仿宋" w:eastAsia="仿宋" w:hAnsi="仿宋" w:hint="eastAsia"/>
          <w:sz w:val="32"/>
          <w:szCs w:val="32"/>
        </w:rPr>
        <w:t>%；项目支出</w:t>
      </w:r>
      <w:r w:rsidR="00786704" w:rsidRPr="00786704">
        <w:rPr>
          <w:rFonts w:ascii="仿宋" w:eastAsia="仿宋" w:hAnsi="仿宋" w:hint="eastAsia"/>
          <w:sz w:val="32"/>
          <w:szCs w:val="32"/>
        </w:rPr>
        <w:t>6639.20</w:t>
      </w:r>
      <w:r w:rsidRPr="00786704">
        <w:rPr>
          <w:rFonts w:ascii="仿宋" w:eastAsia="仿宋" w:hAnsi="仿宋" w:hint="eastAsia"/>
          <w:sz w:val="32"/>
          <w:szCs w:val="32"/>
        </w:rPr>
        <w:t>万元，占</w:t>
      </w:r>
      <w:r w:rsidR="00786704" w:rsidRPr="00786704">
        <w:rPr>
          <w:rFonts w:ascii="仿宋" w:eastAsia="仿宋" w:hAnsi="仿宋" w:hint="eastAsia"/>
          <w:sz w:val="32"/>
          <w:szCs w:val="32"/>
        </w:rPr>
        <w:t>58.72</w:t>
      </w:r>
      <w:r w:rsidRPr="00786704">
        <w:rPr>
          <w:rFonts w:ascii="仿宋" w:eastAsia="仿宋" w:hAnsi="仿宋" w:hint="eastAsia"/>
          <w:sz w:val="32"/>
          <w:szCs w:val="32"/>
        </w:rPr>
        <w:t>%； 经营支出0万元，占0%。</w:t>
      </w:r>
    </w:p>
    <w:p w:rsidR="00712143" w:rsidRPr="007523D9" w:rsidRDefault="00DB24A5">
      <w:pPr>
        <w:spacing w:line="600" w:lineRule="atLeast"/>
        <w:ind w:firstLine="640"/>
        <w:jc w:val="both"/>
      </w:pPr>
      <w:r w:rsidRPr="007523D9">
        <w:rPr>
          <w:rFonts w:ascii="仿宋" w:eastAsia="仿宋" w:hAnsi="仿宋" w:hint="eastAsia"/>
          <w:sz w:val="32"/>
          <w:szCs w:val="32"/>
        </w:rPr>
        <w:t>按支出功能分类，包括一般公共服务支出0万元、国防支出0万元、公共安全支出0万元、教育支出</w:t>
      </w:r>
      <w:r w:rsidR="00786704" w:rsidRPr="007523D9">
        <w:rPr>
          <w:rFonts w:ascii="仿宋" w:eastAsia="仿宋" w:hAnsi="仿宋" w:hint="eastAsia"/>
          <w:sz w:val="32"/>
          <w:szCs w:val="32"/>
        </w:rPr>
        <w:t>10354.88</w:t>
      </w:r>
      <w:r w:rsidRPr="007523D9">
        <w:rPr>
          <w:rFonts w:ascii="仿宋" w:eastAsia="仿宋" w:hAnsi="仿宋" w:hint="eastAsia"/>
          <w:sz w:val="32"/>
          <w:szCs w:val="32"/>
        </w:rPr>
        <w:t>万元、科学技术支出0万元、文化体育与传媒支出0万元、社会保障和就业支出</w:t>
      </w:r>
      <w:r w:rsidR="00786704" w:rsidRPr="007523D9">
        <w:rPr>
          <w:rFonts w:ascii="仿宋" w:eastAsia="仿宋" w:hAnsi="仿宋" w:hint="eastAsia"/>
          <w:sz w:val="32"/>
          <w:szCs w:val="32"/>
        </w:rPr>
        <w:t>509.76</w:t>
      </w:r>
      <w:r w:rsidRPr="007523D9">
        <w:rPr>
          <w:rFonts w:ascii="仿宋" w:eastAsia="仿宋" w:hAnsi="仿宋" w:hint="eastAsia"/>
          <w:sz w:val="32"/>
          <w:szCs w:val="32"/>
        </w:rPr>
        <w:t>万元、医疗卫生与计划生育支出</w:t>
      </w:r>
      <w:r w:rsidR="00786704" w:rsidRPr="007523D9">
        <w:rPr>
          <w:rFonts w:ascii="仿宋" w:eastAsia="仿宋" w:hAnsi="仿宋" w:hint="eastAsia"/>
          <w:sz w:val="32"/>
          <w:szCs w:val="32"/>
        </w:rPr>
        <w:t>114.36</w:t>
      </w:r>
      <w:r w:rsidRPr="007523D9">
        <w:rPr>
          <w:rFonts w:ascii="仿宋" w:eastAsia="仿宋" w:hAnsi="仿宋" w:hint="eastAsia"/>
          <w:sz w:val="32"/>
          <w:szCs w:val="32"/>
        </w:rPr>
        <w:t>万元、节能环保支出0万元、城乡社区支出0万元、农林水支出0万元、交通运输支出0万元、资源勘探信息等支出0万元、商业服务业等支出0万元、金融支出0万元、援助其他地区支出0万元、国土海洋气象等支出0万元、住房保障支出</w:t>
      </w:r>
      <w:r w:rsidR="00786704" w:rsidRPr="007523D9">
        <w:rPr>
          <w:rFonts w:ascii="仿宋" w:eastAsia="仿宋" w:hAnsi="仿宋" w:hint="eastAsia"/>
          <w:sz w:val="32"/>
          <w:szCs w:val="32"/>
        </w:rPr>
        <w:t>327.77</w:t>
      </w:r>
      <w:r w:rsidRPr="007523D9">
        <w:rPr>
          <w:rFonts w:ascii="仿宋" w:eastAsia="仿宋" w:hAnsi="仿宋" w:hint="eastAsia"/>
          <w:sz w:val="32"/>
          <w:szCs w:val="32"/>
        </w:rPr>
        <w:t>万元、粮油物资储备支出0万元、其他支出0万元、债务还本支出0万元、债务付息支出0万元。</w:t>
      </w:r>
    </w:p>
    <w:p w:rsidR="00712143" w:rsidRPr="007523D9" w:rsidRDefault="00DB24A5">
      <w:pPr>
        <w:spacing w:line="600" w:lineRule="atLeast"/>
        <w:ind w:firstLine="640"/>
        <w:jc w:val="both"/>
      </w:pPr>
      <w:r w:rsidRPr="007523D9">
        <w:rPr>
          <w:rFonts w:ascii="仿宋" w:eastAsia="仿宋" w:hAnsi="仿宋" w:hint="eastAsia"/>
          <w:sz w:val="32"/>
          <w:szCs w:val="32"/>
        </w:rPr>
        <w:t>按支出用途分类，包括人员支出</w:t>
      </w:r>
      <w:r w:rsidR="007523D9" w:rsidRPr="007523D9">
        <w:rPr>
          <w:rFonts w:ascii="仿宋" w:eastAsia="仿宋" w:hAnsi="仿宋" w:hint="eastAsia"/>
          <w:sz w:val="32"/>
          <w:szCs w:val="32"/>
        </w:rPr>
        <w:t>4433.66</w:t>
      </w:r>
      <w:r w:rsidRPr="007523D9">
        <w:rPr>
          <w:rFonts w:ascii="仿宋" w:eastAsia="仿宋" w:hAnsi="仿宋" w:hint="eastAsia"/>
          <w:sz w:val="32"/>
          <w:szCs w:val="32"/>
        </w:rPr>
        <w:t>万元，日常公用支出</w:t>
      </w:r>
      <w:r w:rsidR="007523D9" w:rsidRPr="007523D9">
        <w:rPr>
          <w:rFonts w:ascii="仿宋" w:eastAsia="仿宋" w:hAnsi="仿宋" w:hint="eastAsia"/>
          <w:sz w:val="32"/>
          <w:szCs w:val="32"/>
        </w:rPr>
        <w:t>233.91</w:t>
      </w:r>
      <w:r w:rsidRPr="007523D9">
        <w:rPr>
          <w:rFonts w:ascii="仿宋" w:eastAsia="仿宋" w:hAnsi="仿宋" w:hint="eastAsia"/>
          <w:sz w:val="32"/>
          <w:szCs w:val="32"/>
        </w:rPr>
        <w:t>万元，</w:t>
      </w:r>
      <w:r w:rsidR="007523D9" w:rsidRPr="007523D9">
        <w:rPr>
          <w:rFonts w:ascii="仿宋" w:eastAsia="仿宋" w:hAnsi="仿宋" w:hint="eastAsia"/>
          <w:sz w:val="32"/>
          <w:szCs w:val="32"/>
        </w:rPr>
        <w:t>基本建设类</w:t>
      </w:r>
      <w:r w:rsidRPr="007523D9">
        <w:rPr>
          <w:rFonts w:ascii="仿宋" w:eastAsia="仿宋" w:hAnsi="仿宋" w:hint="eastAsia"/>
          <w:sz w:val="32"/>
          <w:szCs w:val="32"/>
        </w:rPr>
        <w:t>项目支出</w:t>
      </w:r>
      <w:r w:rsidR="007523D9" w:rsidRPr="007523D9">
        <w:rPr>
          <w:rFonts w:ascii="仿宋" w:eastAsia="仿宋" w:hAnsi="仿宋" w:hint="eastAsia"/>
          <w:sz w:val="32"/>
          <w:szCs w:val="32"/>
        </w:rPr>
        <w:t>4102.56</w:t>
      </w:r>
      <w:r w:rsidRPr="007523D9">
        <w:rPr>
          <w:rFonts w:ascii="仿宋" w:eastAsia="仿宋" w:hAnsi="仿宋" w:hint="eastAsia"/>
          <w:sz w:val="32"/>
          <w:szCs w:val="32"/>
        </w:rPr>
        <w:t>万元，</w:t>
      </w:r>
      <w:r w:rsidR="007523D9" w:rsidRPr="007523D9">
        <w:rPr>
          <w:rFonts w:ascii="仿宋" w:eastAsia="仿宋" w:hAnsi="仿宋" w:hint="eastAsia"/>
          <w:sz w:val="32"/>
          <w:szCs w:val="32"/>
        </w:rPr>
        <w:t>行政事业类项目支出2536.64万元，</w:t>
      </w:r>
      <w:r w:rsidRPr="007523D9">
        <w:rPr>
          <w:rFonts w:ascii="仿宋" w:eastAsia="仿宋" w:hAnsi="仿宋" w:hint="eastAsia"/>
          <w:sz w:val="32"/>
          <w:szCs w:val="32"/>
        </w:rPr>
        <w:t>事业单位经营支出0万元，对附属单位补助支出0万元，上缴上级支出0万元。</w:t>
      </w:r>
    </w:p>
    <w:p w:rsidR="00712143" w:rsidRPr="007523D9" w:rsidRDefault="00DB24A5">
      <w:pPr>
        <w:spacing w:line="600" w:lineRule="atLeast"/>
        <w:ind w:firstLine="640"/>
        <w:jc w:val="both"/>
      </w:pPr>
      <w:r w:rsidRPr="007523D9">
        <w:rPr>
          <w:rFonts w:ascii="仿宋" w:eastAsia="仿宋" w:hAnsi="仿宋" w:hint="eastAsia"/>
          <w:sz w:val="32"/>
          <w:szCs w:val="32"/>
        </w:rPr>
        <w:lastRenderedPageBreak/>
        <w:t>按支出资金性质分类，包括一般公共预算支出</w:t>
      </w:r>
      <w:r w:rsidR="007523D9" w:rsidRPr="007523D9">
        <w:rPr>
          <w:rFonts w:ascii="仿宋" w:eastAsia="仿宋" w:hAnsi="仿宋" w:hint="eastAsia"/>
          <w:sz w:val="32"/>
          <w:szCs w:val="32"/>
        </w:rPr>
        <w:t>3348.26</w:t>
      </w:r>
      <w:r w:rsidRPr="007523D9">
        <w:rPr>
          <w:rFonts w:ascii="仿宋" w:eastAsia="仿宋" w:hAnsi="仿宋" w:hint="eastAsia"/>
          <w:sz w:val="32"/>
          <w:szCs w:val="32"/>
        </w:rPr>
        <w:t>万元，政府性基金预算支出0万元，其他各类支出</w:t>
      </w:r>
      <w:r w:rsidR="007523D9" w:rsidRPr="007523D9">
        <w:rPr>
          <w:rFonts w:ascii="仿宋" w:eastAsia="仿宋" w:hAnsi="仿宋" w:hint="eastAsia"/>
          <w:sz w:val="32"/>
          <w:szCs w:val="32"/>
        </w:rPr>
        <w:t>7958.51</w:t>
      </w:r>
      <w:r w:rsidRPr="007523D9">
        <w:rPr>
          <w:rFonts w:ascii="仿宋" w:eastAsia="仿宋" w:hAnsi="仿宋" w:hint="eastAsia"/>
          <w:sz w:val="32"/>
          <w:szCs w:val="32"/>
        </w:rPr>
        <w:t>万元。</w:t>
      </w:r>
    </w:p>
    <w:p w:rsidR="00712143" w:rsidRPr="009D491D" w:rsidRDefault="00DB24A5">
      <w:pPr>
        <w:spacing w:line="600" w:lineRule="atLeast"/>
        <w:ind w:firstLine="640"/>
        <w:jc w:val="both"/>
      </w:pPr>
      <w:r w:rsidRPr="009D491D">
        <w:rPr>
          <w:rStyle w:val="a6"/>
          <w:rFonts w:ascii="楷体" w:eastAsia="楷体" w:hAnsi="楷体" w:cs="Arial" w:hint="eastAsia"/>
          <w:sz w:val="32"/>
          <w:szCs w:val="32"/>
        </w:rPr>
        <w:t>（四）财政拨款收入支出决算总体情况说明</w:t>
      </w:r>
    </w:p>
    <w:p w:rsidR="00712143" w:rsidRPr="009D491D" w:rsidRDefault="00DB24A5">
      <w:pPr>
        <w:spacing w:line="600" w:lineRule="atLeast"/>
        <w:ind w:firstLine="640"/>
        <w:jc w:val="both"/>
      </w:pPr>
      <w:r w:rsidRPr="009D491D">
        <w:rPr>
          <w:rFonts w:ascii="仿宋" w:eastAsia="仿宋" w:hAnsi="仿宋" w:hint="eastAsia"/>
          <w:sz w:val="32"/>
          <w:szCs w:val="32"/>
        </w:rPr>
        <w:t>台州广播电视大学单位201</w:t>
      </w:r>
      <w:r w:rsidR="004F2049" w:rsidRPr="009D491D">
        <w:rPr>
          <w:rFonts w:ascii="仿宋" w:eastAsia="仿宋" w:hAnsi="仿宋" w:hint="eastAsia"/>
          <w:sz w:val="32"/>
          <w:szCs w:val="32"/>
        </w:rPr>
        <w:t>8</w:t>
      </w:r>
      <w:r w:rsidRPr="009D491D">
        <w:rPr>
          <w:rFonts w:ascii="仿宋" w:eastAsia="仿宋" w:hAnsi="仿宋" w:hint="eastAsia"/>
          <w:sz w:val="32"/>
          <w:szCs w:val="32"/>
        </w:rPr>
        <w:t>年度财政拨款收、支总计</w:t>
      </w:r>
      <w:r w:rsidR="004F2049" w:rsidRPr="009D491D">
        <w:rPr>
          <w:rFonts w:ascii="仿宋" w:eastAsia="仿宋" w:hAnsi="仿宋" w:hint="eastAsia"/>
          <w:sz w:val="32"/>
          <w:szCs w:val="32"/>
        </w:rPr>
        <w:t>3379.60</w:t>
      </w:r>
      <w:r w:rsidRPr="009D491D">
        <w:rPr>
          <w:rFonts w:ascii="仿宋" w:eastAsia="仿宋" w:hAnsi="仿宋" w:hint="eastAsia"/>
          <w:sz w:val="32"/>
          <w:szCs w:val="32"/>
        </w:rPr>
        <w:t>万元。与201</w:t>
      </w:r>
      <w:r w:rsidR="004F2049" w:rsidRPr="009D491D">
        <w:rPr>
          <w:rFonts w:ascii="仿宋" w:eastAsia="仿宋" w:hAnsi="仿宋" w:hint="eastAsia"/>
          <w:sz w:val="32"/>
          <w:szCs w:val="32"/>
        </w:rPr>
        <w:t>7</w:t>
      </w:r>
      <w:r w:rsidRPr="009D491D">
        <w:rPr>
          <w:rFonts w:ascii="仿宋" w:eastAsia="仿宋" w:hAnsi="仿宋" w:hint="eastAsia"/>
          <w:sz w:val="32"/>
          <w:szCs w:val="32"/>
        </w:rPr>
        <w:t>年相比，财政拨款收、支总计</w:t>
      </w:r>
      <w:r w:rsidR="004F2049" w:rsidRPr="009D491D">
        <w:rPr>
          <w:rFonts w:ascii="仿宋" w:eastAsia="仿宋" w:hAnsi="仿宋" w:hint="eastAsia"/>
          <w:sz w:val="32"/>
          <w:szCs w:val="32"/>
        </w:rPr>
        <w:t>增加406.42</w:t>
      </w:r>
      <w:r w:rsidRPr="009D491D">
        <w:rPr>
          <w:rFonts w:ascii="仿宋" w:eastAsia="仿宋" w:hAnsi="仿宋" w:hint="eastAsia"/>
          <w:sz w:val="32"/>
          <w:szCs w:val="32"/>
        </w:rPr>
        <w:t>万元，</w:t>
      </w:r>
      <w:r w:rsidR="004F2049" w:rsidRPr="009D491D">
        <w:rPr>
          <w:rFonts w:ascii="仿宋" w:eastAsia="仿宋" w:hAnsi="仿宋" w:hint="eastAsia"/>
          <w:sz w:val="32"/>
          <w:szCs w:val="32"/>
        </w:rPr>
        <w:t>上</w:t>
      </w:r>
      <w:r w:rsidR="009D491D">
        <w:rPr>
          <w:rFonts w:ascii="仿宋" w:eastAsia="仿宋" w:hAnsi="仿宋" w:hint="eastAsia"/>
          <w:sz w:val="32"/>
          <w:szCs w:val="32"/>
        </w:rPr>
        <w:t>浮</w:t>
      </w:r>
      <w:r w:rsidR="004F2049" w:rsidRPr="009D491D">
        <w:rPr>
          <w:rFonts w:ascii="仿宋" w:eastAsia="仿宋" w:hAnsi="仿宋" w:hint="eastAsia"/>
          <w:sz w:val="32"/>
          <w:szCs w:val="32"/>
        </w:rPr>
        <w:t>13.67</w:t>
      </w:r>
      <w:r w:rsidRPr="009D491D">
        <w:rPr>
          <w:rFonts w:ascii="仿宋" w:eastAsia="仿宋" w:hAnsi="仿宋" w:hint="eastAsia"/>
          <w:sz w:val="32"/>
          <w:szCs w:val="32"/>
        </w:rPr>
        <w:t>%。主要是</w:t>
      </w:r>
      <w:r w:rsidR="004F2049" w:rsidRPr="009D491D">
        <w:rPr>
          <w:rFonts w:ascii="仿宋" w:eastAsia="仿宋" w:hAnsi="仿宋" w:hint="eastAsia"/>
          <w:sz w:val="32"/>
          <w:szCs w:val="32"/>
        </w:rPr>
        <w:t>教育支出增加</w:t>
      </w:r>
      <w:r w:rsidRPr="009D491D">
        <w:rPr>
          <w:rFonts w:ascii="仿宋" w:eastAsia="仿宋" w:hAnsi="仿宋" w:hint="eastAsia"/>
          <w:sz w:val="32"/>
          <w:szCs w:val="32"/>
        </w:rPr>
        <w:t>了</w:t>
      </w:r>
      <w:r w:rsidR="004F2049" w:rsidRPr="009D491D">
        <w:rPr>
          <w:rFonts w:ascii="仿宋" w:eastAsia="仿宋" w:hAnsi="仿宋" w:hint="eastAsia"/>
          <w:sz w:val="32"/>
          <w:szCs w:val="32"/>
        </w:rPr>
        <w:t>1140.72</w:t>
      </w:r>
      <w:r w:rsidRPr="009D491D">
        <w:rPr>
          <w:rFonts w:ascii="仿宋" w:eastAsia="仿宋" w:hAnsi="仿宋" w:hint="eastAsia"/>
          <w:sz w:val="32"/>
          <w:szCs w:val="32"/>
        </w:rPr>
        <w:t>万元，年末结转结余数</w:t>
      </w:r>
      <w:r w:rsidR="004F2049" w:rsidRPr="009D491D">
        <w:rPr>
          <w:rFonts w:ascii="仿宋" w:eastAsia="仿宋" w:hAnsi="仿宋" w:hint="eastAsia"/>
          <w:sz w:val="32"/>
          <w:szCs w:val="32"/>
        </w:rPr>
        <w:t>增加</w:t>
      </w:r>
      <w:r w:rsidRPr="009D491D">
        <w:rPr>
          <w:rFonts w:ascii="仿宋" w:eastAsia="仿宋" w:hAnsi="仿宋" w:hint="eastAsia"/>
          <w:sz w:val="32"/>
          <w:szCs w:val="32"/>
        </w:rPr>
        <w:t>了</w:t>
      </w:r>
      <w:r w:rsidR="009D491D" w:rsidRPr="009D491D">
        <w:rPr>
          <w:rFonts w:ascii="仿宋" w:eastAsia="仿宋" w:hAnsi="仿宋" w:hint="eastAsia"/>
          <w:sz w:val="32"/>
          <w:szCs w:val="32"/>
        </w:rPr>
        <w:t>19</w:t>
      </w:r>
      <w:r w:rsidRPr="009D491D">
        <w:rPr>
          <w:rFonts w:ascii="仿宋" w:eastAsia="仿宋" w:hAnsi="仿宋" w:hint="eastAsia"/>
          <w:sz w:val="32"/>
          <w:szCs w:val="32"/>
        </w:rPr>
        <w:t>万元。</w:t>
      </w:r>
    </w:p>
    <w:p w:rsidR="00712143" w:rsidRPr="009D491D" w:rsidRDefault="00DB24A5">
      <w:pPr>
        <w:spacing w:line="600" w:lineRule="atLeast"/>
        <w:ind w:firstLine="640"/>
        <w:jc w:val="both"/>
      </w:pPr>
      <w:r w:rsidRPr="009D491D">
        <w:rPr>
          <w:rStyle w:val="a6"/>
          <w:rFonts w:ascii="楷体" w:eastAsia="楷体" w:hAnsi="楷体" w:cs="Arial" w:hint="eastAsia"/>
          <w:sz w:val="32"/>
          <w:szCs w:val="32"/>
        </w:rPr>
        <w:t>（五）一般公共预算财政拨款支出决算情况说明</w:t>
      </w:r>
    </w:p>
    <w:p w:rsidR="00712143" w:rsidRPr="009D491D" w:rsidRDefault="00DB24A5">
      <w:pPr>
        <w:spacing w:line="600" w:lineRule="atLeast"/>
        <w:ind w:firstLine="640"/>
        <w:jc w:val="both"/>
      </w:pPr>
      <w:r w:rsidRPr="009D491D">
        <w:rPr>
          <w:rFonts w:ascii="仿宋" w:eastAsia="仿宋" w:hAnsi="仿宋" w:hint="eastAsia"/>
          <w:sz w:val="32"/>
          <w:szCs w:val="32"/>
        </w:rPr>
        <w:t>1.一般公共预算财政拨款支出决算总体情况。</w:t>
      </w:r>
    </w:p>
    <w:p w:rsidR="00712143" w:rsidRPr="009D491D" w:rsidRDefault="00DB24A5">
      <w:pPr>
        <w:spacing w:line="600" w:lineRule="atLeast"/>
        <w:ind w:firstLine="640"/>
        <w:jc w:val="both"/>
      </w:pPr>
      <w:r w:rsidRPr="009D491D">
        <w:rPr>
          <w:rFonts w:ascii="仿宋" w:eastAsia="仿宋" w:hAnsi="仿宋" w:hint="eastAsia"/>
          <w:sz w:val="32"/>
          <w:szCs w:val="32"/>
        </w:rPr>
        <w:t>台州广播电视大学单位201</w:t>
      </w:r>
      <w:r w:rsidR="009D491D" w:rsidRPr="009D491D">
        <w:rPr>
          <w:rFonts w:ascii="仿宋" w:eastAsia="仿宋" w:hAnsi="仿宋" w:hint="eastAsia"/>
          <w:sz w:val="32"/>
          <w:szCs w:val="32"/>
        </w:rPr>
        <w:t>8</w:t>
      </w:r>
      <w:r w:rsidRPr="009D491D">
        <w:rPr>
          <w:rFonts w:ascii="仿宋" w:eastAsia="仿宋" w:hAnsi="仿宋" w:hint="eastAsia"/>
          <w:sz w:val="32"/>
          <w:szCs w:val="32"/>
        </w:rPr>
        <w:t>年度一般公共预算财政拨款支出</w:t>
      </w:r>
      <w:r w:rsidR="009D491D" w:rsidRPr="009D491D">
        <w:rPr>
          <w:rFonts w:ascii="仿宋" w:eastAsia="仿宋" w:hAnsi="仿宋" w:hint="eastAsia"/>
          <w:sz w:val="32"/>
          <w:szCs w:val="32"/>
        </w:rPr>
        <w:t>3348.26</w:t>
      </w:r>
      <w:r w:rsidRPr="009D491D">
        <w:rPr>
          <w:rFonts w:ascii="仿宋" w:eastAsia="仿宋" w:hAnsi="仿宋" w:hint="eastAsia"/>
          <w:sz w:val="32"/>
          <w:szCs w:val="32"/>
        </w:rPr>
        <w:t>万元，占本年支出合计的</w:t>
      </w:r>
      <w:r w:rsidR="009D491D" w:rsidRPr="009D491D">
        <w:rPr>
          <w:rFonts w:ascii="仿宋" w:eastAsia="仿宋" w:hAnsi="仿宋" w:hint="eastAsia"/>
          <w:sz w:val="32"/>
          <w:szCs w:val="32"/>
        </w:rPr>
        <w:t>29.61</w:t>
      </w:r>
      <w:r w:rsidRPr="009D491D">
        <w:rPr>
          <w:rFonts w:ascii="仿宋" w:eastAsia="仿宋" w:hAnsi="仿宋" w:hint="eastAsia"/>
          <w:sz w:val="32"/>
          <w:szCs w:val="32"/>
        </w:rPr>
        <w:t>%。与201</w:t>
      </w:r>
      <w:r w:rsidR="009D491D" w:rsidRPr="009D491D">
        <w:rPr>
          <w:rFonts w:ascii="仿宋" w:eastAsia="仿宋" w:hAnsi="仿宋" w:hint="eastAsia"/>
          <w:sz w:val="32"/>
          <w:szCs w:val="32"/>
        </w:rPr>
        <w:t>7</w:t>
      </w:r>
      <w:r w:rsidRPr="009D491D">
        <w:rPr>
          <w:rFonts w:ascii="仿宋" w:eastAsia="仿宋" w:hAnsi="仿宋" w:hint="eastAsia"/>
          <w:sz w:val="32"/>
          <w:szCs w:val="32"/>
        </w:rPr>
        <w:t>年相比，一般公共预算财政拨款支出</w:t>
      </w:r>
      <w:r w:rsidR="009D491D" w:rsidRPr="009D491D">
        <w:rPr>
          <w:rFonts w:ascii="仿宋" w:eastAsia="仿宋" w:hAnsi="仿宋" w:hint="eastAsia"/>
          <w:sz w:val="32"/>
          <w:szCs w:val="32"/>
        </w:rPr>
        <w:t>增加了387.42</w:t>
      </w:r>
      <w:r w:rsidRPr="009D491D">
        <w:rPr>
          <w:rFonts w:ascii="仿宋" w:eastAsia="仿宋" w:hAnsi="仿宋" w:hint="eastAsia"/>
          <w:sz w:val="32"/>
          <w:szCs w:val="32"/>
        </w:rPr>
        <w:t>万元，</w:t>
      </w:r>
      <w:r w:rsidR="009D491D" w:rsidRPr="009D491D">
        <w:rPr>
          <w:rFonts w:ascii="仿宋" w:eastAsia="仿宋" w:hAnsi="仿宋" w:hint="eastAsia"/>
          <w:sz w:val="32"/>
          <w:szCs w:val="32"/>
        </w:rPr>
        <w:t>上浮13.08</w:t>
      </w:r>
      <w:r w:rsidRPr="009D491D">
        <w:rPr>
          <w:rFonts w:ascii="仿宋" w:eastAsia="仿宋" w:hAnsi="仿宋" w:hint="eastAsia"/>
          <w:sz w:val="32"/>
          <w:szCs w:val="32"/>
        </w:rPr>
        <w:t>%。</w:t>
      </w:r>
      <w:r w:rsidR="009D491D" w:rsidRPr="009D491D">
        <w:rPr>
          <w:rFonts w:ascii="仿宋" w:eastAsia="仿宋" w:hAnsi="仿宋" w:hint="eastAsia"/>
          <w:sz w:val="32"/>
          <w:szCs w:val="32"/>
        </w:rPr>
        <w:t>主要是教育支出增加了1140.72万元</w:t>
      </w:r>
      <w:r w:rsidRPr="009D491D">
        <w:rPr>
          <w:rFonts w:ascii="仿宋" w:eastAsia="仿宋" w:hAnsi="仿宋" w:hint="eastAsia"/>
          <w:sz w:val="32"/>
          <w:szCs w:val="32"/>
        </w:rPr>
        <w:t>。</w:t>
      </w:r>
    </w:p>
    <w:p w:rsidR="00712143" w:rsidRPr="009D491D" w:rsidRDefault="00DB24A5">
      <w:pPr>
        <w:spacing w:line="600" w:lineRule="atLeast"/>
        <w:ind w:firstLine="640"/>
        <w:jc w:val="both"/>
      </w:pPr>
      <w:r w:rsidRPr="009D491D">
        <w:rPr>
          <w:rFonts w:ascii="仿宋" w:eastAsia="仿宋" w:hAnsi="仿宋" w:hint="eastAsia"/>
          <w:sz w:val="32"/>
          <w:szCs w:val="32"/>
        </w:rPr>
        <w:t>2.一般公共预算财政拨款支出决算具体情况。</w:t>
      </w:r>
    </w:p>
    <w:p w:rsidR="00712143" w:rsidRPr="004814EE" w:rsidRDefault="00DB24A5">
      <w:pPr>
        <w:spacing w:line="600" w:lineRule="atLeast"/>
        <w:ind w:firstLine="640"/>
        <w:jc w:val="both"/>
      </w:pPr>
      <w:r w:rsidRPr="00431D64">
        <w:rPr>
          <w:rFonts w:ascii="仿宋" w:eastAsia="仿宋" w:hAnsi="仿宋" w:hint="eastAsia"/>
          <w:sz w:val="32"/>
          <w:szCs w:val="32"/>
        </w:rPr>
        <w:t>台州广播电视大学单位201</w:t>
      </w:r>
      <w:r w:rsidR="009D491D" w:rsidRPr="00431D64">
        <w:rPr>
          <w:rFonts w:ascii="仿宋" w:eastAsia="仿宋" w:hAnsi="仿宋" w:hint="eastAsia"/>
          <w:sz w:val="32"/>
          <w:szCs w:val="32"/>
        </w:rPr>
        <w:t>8</w:t>
      </w:r>
      <w:r w:rsidRPr="00431D64">
        <w:rPr>
          <w:rFonts w:ascii="仿宋" w:eastAsia="仿宋" w:hAnsi="仿宋" w:hint="eastAsia"/>
          <w:sz w:val="32"/>
          <w:szCs w:val="32"/>
        </w:rPr>
        <w:t>年度一般公共财政拨款支出年初预算为</w:t>
      </w:r>
      <w:r w:rsidR="009D491D" w:rsidRPr="00431D64">
        <w:rPr>
          <w:rFonts w:ascii="仿宋" w:eastAsia="仿宋" w:hAnsi="仿宋" w:hint="eastAsia"/>
          <w:sz w:val="32"/>
          <w:szCs w:val="32"/>
        </w:rPr>
        <w:t>2849.70</w:t>
      </w:r>
      <w:r w:rsidRPr="00431D64">
        <w:rPr>
          <w:rFonts w:ascii="仿宋" w:eastAsia="仿宋" w:hAnsi="仿宋" w:hint="eastAsia"/>
          <w:sz w:val="32"/>
          <w:szCs w:val="32"/>
        </w:rPr>
        <w:t>万元，支出决算为</w:t>
      </w:r>
      <w:r w:rsidR="009D491D" w:rsidRPr="00431D64">
        <w:rPr>
          <w:rFonts w:ascii="仿宋" w:eastAsia="仿宋" w:hAnsi="仿宋" w:hint="eastAsia"/>
          <w:sz w:val="32"/>
          <w:szCs w:val="32"/>
        </w:rPr>
        <w:t>3348.26</w:t>
      </w:r>
      <w:r w:rsidRPr="00431D64">
        <w:rPr>
          <w:rFonts w:ascii="仿宋" w:eastAsia="仿宋" w:hAnsi="仿宋" w:hint="eastAsia"/>
          <w:sz w:val="32"/>
          <w:szCs w:val="32"/>
        </w:rPr>
        <w:t>万元,完成年初预算的1</w:t>
      </w:r>
      <w:r w:rsidR="009D491D" w:rsidRPr="00431D64">
        <w:rPr>
          <w:rFonts w:ascii="仿宋" w:eastAsia="仿宋" w:hAnsi="仿宋" w:hint="eastAsia"/>
          <w:sz w:val="32"/>
          <w:szCs w:val="32"/>
        </w:rPr>
        <w:t>17.50</w:t>
      </w:r>
      <w:r w:rsidRPr="00431D64">
        <w:rPr>
          <w:rFonts w:ascii="仿宋" w:eastAsia="仿宋" w:hAnsi="仿宋" w:hint="eastAsia"/>
          <w:sz w:val="32"/>
          <w:szCs w:val="32"/>
        </w:rPr>
        <w:t>%，</w:t>
      </w:r>
      <w:r w:rsidR="00B60C79" w:rsidRPr="004814EE">
        <w:rPr>
          <w:rFonts w:ascii="仿宋" w:eastAsia="仿宋" w:hAnsi="仿宋" w:hint="eastAsia"/>
          <w:sz w:val="32"/>
          <w:szCs w:val="32"/>
        </w:rPr>
        <w:t>主要原因是追加了人员经费、</w:t>
      </w:r>
      <w:r w:rsidRPr="004814EE">
        <w:rPr>
          <w:rFonts w:ascii="仿宋" w:eastAsia="仿宋" w:hAnsi="仿宋" w:hint="eastAsia"/>
          <w:sz w:val="32"/>
          <w:szCs w:val="32"/>
        </w:rPr>
        <w:t>省补高校农业种养技术类专业免学费</w:t>
      </w:r>
      <w:r w:rsidR="00B60C79" w:rsidRPr="004814EE">
        <w:rPr>
          <w:rFonts w:ascii="仿宋" w:eastAsia="仿宋" w:hAnsi="仿宋" w:hint="eastAsia"/>
          <w:sz w:val="32"/>
          <w:szCs w:val="32"/>
        </w:rPr>
        <w:t>及中职补助经费</w:t>
      </w:r>
      <w:r w:rsidRPr="004814EE">
        <w:rPr>
          <w:rFonts w:ascii="仿宋" w:eastAsia="仿宋" w:hAnsi="仿宋" w:hint="eastAsia"/>
          <w:sz w:val="32"/>
          <w:szCs w:val="32"/>
        </w:rPr>
        <w:t>项目。</w:t>
      </w:r>
    </w:p>
    <w:p w:rsidR="00712143" w:rsidRPr="003604D7" w:rsidRDefault="00DB24A5">
      <w:pPr>
        <w:spacing w:line="600" w:lineRule="atLeast"/>
        <w:ind w:firstLine="640"/>
        <w:jc w:val="both"/>
      </w:pPr>
      <w:r w:rsidRPr="003604D7">
        <w:rPr>
          <w:rStyle w:val="a6"/>
          <w:rFonts w:ascii="楷体" w:eastAsia="楷体" w:hAnsi="楷体" w:cs="Arial" w:hint="eastAsia"/>
          <w:sz w:val="32"/>
          <w:szCs w:val="32"/>
        </w:rPr>
        <w:t>（六）一般公共预算财政拨款基本支出决算情况说明</w:t>
      </w:r>
    </w:p>
    <w:p w:rsidR="00712143" w:rsidRPr="003604D7" w:rsidRDefault="00DB24A5">
      <w:pPr>
        <w:spacing w:line="600" w:lineRule="atLeast"/>
        <w:ind w:firstLine="640"/>
        <w:jc w:val="both"/>
      </w:pPr>
      <w:r w:rsidRPr="003604D7">
        <w:rPr>
          <w:rFonts w:ascii="仿宋" w:eastAsia="仿宋" w:hAnsi="仿宋" w:hint="eastAsia"/>
          <w:sz w:val="32"/>
          <w:szCs w:val="32"/>
        </w:rPr>
        <w:t>台州广播电视大学单位2017年一般公共预算财政拨款基本支出</w:t>
      </w:r>
      <w:r w:rsidR="00431D64" w:rsidRPr="003604D7">
        <w:rPr>
          <w:rFonts w:ascii="仿宋" w:eastAsia="仿宋" w:hAnsi="仿宋" w:hint="eastAsia"/>
          <w:sz w:val="32"/>
          <w:szCs w:val="32"/>
        </w:rPr>
        <w:t>2813.15</w:t>
      </w:r>
      <w:r w:rsidRPr="003604D7">
        <w:rPr>
          <w:rFonts w:ascii="仿宋" w:eastAsia="仿宋" w:hAnsi="仿宋" w:hint="eastAsia"/>
          <w:sz w:val="32"/>
          <w:szCs w:val="32"/>
        </w:rPr>
        <w:t>万元，其中：</w:t>
      </w:r>
    </w:p>
    <w:p w:rsidR="00712143" w:rsidRPr="003604D7" w:rsidRDefault="00DB24A5" w:rsidP="00431D64">
      <w:pPr>
        <w:spacing w:line="600" w:lineRule="atLeast"/>
        <w:ind w:leftChars="67" w:left="161" w:firstLineChars="150" w:firstLine="480"/>
        <w:jc w:val="both"/>
      </w:pPr>
      <w:r w:rsidRPr="003604D7">
        <w:rPr>
          <w:rFonts w:ascii="仿宋" w:eastAsia="仿宋" w:hAnsi="仿宋" w:hint="eastAsia"/>
          <w:sz w:val="32"/>
          <w:szCs w:val="32"/>
        </w:rPr>
        <w:lastRenderedPageBreak/>
        <w:t>人员经费</w:t>
      </w:r>
      <w:r w:rsidR="00431D64" w:rsidRPr="003604D7">
        <w:rPr>
          <w:rFonts w:ascii="仿宋" w:eastAsia="仿宋" w:hAnsi="仿宋" w:hint="eastAsia"/>
          <w:sz w:val="32"/>
          <w:szCs w:val="32"/>
        </w:rPr>
        <w:t>2579.24</w:t>
      </w:r>
      <w:r w:rsidRPr="003604D7">
        <w:rPr>
          <w:rFonts w:ascii="仿宋" w:eastAsia="仿宋" w:hAnsi="仿宋" w:hint="eastAsia"/>
          <w:sz w:val="32"/>
          <w:szCs w:val="32"/>
        </w:rPr>
        <w:t>万元，主要包括：基本工资、津贴补贴、</w:t>
      </w:r>
      <w:r w:rsidR="00431D64" w:rsidRPr="003604D7">
        <w:rPr>
          <w:rFonts w:ascii="仿宋" w:eastAsia="仿宋" w:hAnsi="仿宋" w:hint="eastAsia"/>
          <w:sz w:val="32"/>
          <w:szCs w:val="32"/>
        </w:rPr>
        <w:t>奖金、</w:t>
      </w:r>
      <w:r w:rsidRPr="003604D7">
        <w:rPr>
          <w:rFonts w:ascii="仿宋" w:eastAsia="仿宋" w:hAnsi="仿宋" w:hint="eastAsia"/>
          <w:sz w:val="32"/>
          <w:szCs w:val="32"/>
        </w:rPr>
        <w:t>绩效工资、机关事业单位基本养老保险缴费、职业年金缴费、</w:t>
      </w:r>
      <w:r w:rsidR="003604D7" w:rsidRPr="003604D7">
        <w:rPr>
          <w:rFonts w:ascii="仿宋" w:eastAsia="仿宋" w:hAnsi="仿宋" w:hint="eastAsia"/>
          <w:sz w:val="32"/>
          <w:szCs w:val="32"/>
        </w:rPr>
        <w:t>职工基本医疗保险缴费、公务员医疗补助缴费、住房公积金、</w:t>
      </w:r>
      <w:r w:rsidRPr="003604D7">
        <w:rPr>
          <w:rFonts w:ascii="仿宋" w:eastAsia="仿宋" w:hAnsi="仿宋" w:hint="eastAsia"/>
          <w:sz w:val="32"/>
          <w:szCs w:val="32"/>
        </w:rPr>
        <w:t>医疗费、</w:t>
      </w:r>
      <w:r w:rsidR="003604D7" w:rsidRPr="003604D7">
        <w:rPr>
          <w:rFonts w:ascii="仿宋" w:eastAsia="仿宋" w:hAnsi="仿宋" w:hint="eastAsia"/>
          <w:sz w:val="32"/>
          <w:szCs w:val="32"/>
        </w:rPr>
        <w:t>其他工资福利支出</w:t>
      </w:r>
      <w:r w:rsidRPr="003604D7">
        <w:rPr>
          <w:rFonts w:ascii="仿宋" w:eastAsia="仿宋" w:hAnsi="仿宋" w:hint="eastAsia"/>
          <w:sz w:val="32"/>
          <w:szCs w:val="32"/>
        </w:rPr>
        <w:t>；</w:t>
      </w:r>
    </w:p>
    <w:p w:rsidR="00712143" w:rsidRPr="003604D7" w:rsidRDefault="00DB24A5">
      <w:pPr>
        <w:spacing w:line="600" w:lineRule="atLeast"/>
        <w:ind w:firstLine="640"/>
        <w:jc w:val="both"/>
      </w:pPr>
      <w:r w:rsidRPr="003604D7">
        <w:rPr>
          <w:rFonts w:ascii="仿宋" w:eastAsia="仿宋" w:hAnsi="仿宋" w:hint="eastAsia"/>
          <w:sz w:val="32"/>
          <w:szCs w:val="32"/>
        </w:rPr>
        <w:t>公用经费</w:t>
      </w:r>
      <w:r w:rsidR="00431D64" w:rsidRPr="003604D7">
        <w:rPr>
          <w:rFonts w:ascii="仿宋" w:eastAsia="仿宋" w:hAnsi="仿宋" w:hint="eastAsia"/>
          <w:sz w:val="32"/>
          <w:szCs w:val="32"/>
        </w:rPr>
        <w:t>233.91</w:t>
      </w:r>
      <w:r w:rsidRPr="003604D7">
        <w:rPr>
          <w:rFonts w:ascii="仿宋" w:eastAsia="仿宋" w:hAnsi="仿宋" w:hint="eastAsia"/>
          <w:sz w:val="32"/>
          <w:szCs w:val="32"/>
        </w:rPr>
        <w:t>万元，主要包括：办公费、印刷费、手续费、水电费、邮电费、物业管理费、差旅费、</w:t>
      </w:r>
      <w:r w:rsidR="003604D7" w:rsidRPr="003604D7">
        <w:rPr>
          <w:rFonts w:ascii="仿宋" w:eastAsia="仿宋" w:hAnsi="仿宋" w:hint="eastAsia"/>
          <w:sz w:val="32"/>
          <w:szCs w:val="32"/>
        </w:rPr>
        <w:t>因公出国（境）费用、</w:t>
      </w:r>
      <w:r w:rsidRPr="003604D7">
        <w:rPr>
          <w:rFonts w:ascii="仿宋" w:eastAsia="仿宋" w:hAnsi="仿宋" w:hint="eastAsia"/>
          <w:sz w:val="32"/>
          <w:szCs w:val="32"/>
        </w:rPr>
        <w:t>维修费、租赁费、会议费、</w:t>
      </w:r>
      <w:r w:rsidR="003604D7" w:rsidRPr="003604D7">
        <w:rPr>
          <w:rFonts w:ascii="仿宋" w:eastAsia="仿宋" w:hAnsi="仿宋" w:hint="eastAsia"/>
          <w:sz w:val="32"/>
          <w:szCs w:val="32"/>
        </w:rPr>
        <w:t>公务接待费</w:t>
      </w:r>
      <w:r w:rsidRPr="003604D7">
        <w:rPr>
          <w:rFonts w:ascii="仿宋" w:eastAsia="仿宋" w:hAnsi="仿宋" w:hint="eastAsia"/>
          <w:sz w:val="32"/>
          <w:szCs w:val="32"/>
        </w:rPr>
        <w:t>、专用材料费、</w:t>
      </w:r>
      <w:r w:rsidR="003604D7" w:rsidRPr="003604D7">
        <w:rPr>
          <w:rFonts w:ascii="仿宋" w:eastAsia="仿宋" w:hAnsi="仿宋" w:hint="eastAsia"/>
          <w:sz w:val="32"/>
          <w:szCs w:val="32"/>
        </w:rPr>
        <w:t>劳务费、委托业务费、工会经费、</w:t>
      </w:r>
      <w:r w:rsidRPr="003604D7">
        <w:rPr>
          <w:rFonts w:ascii="仿宋" w:eastAsia="仿宋" w:hAnsi="仿宋" w:hint="eastAsia"/>
          <w:sz w:val="32"/>
          <w:szCs w:val="32"/>
        </w:rPr>
        <w:t>福利费、</w:t>
      </w:r>
      <w:r w:rsidR="003604D7" w:rsidRPr="003604D7">
        <w:rPr>
          <w:rFonts w:ascii="仿宋" w:eastAsia="仿宋" w:hAnsi="仿宋" w:hint="eastAsia"/>
          <w:sz w:val="32"/>
          <w:szCs w:val="32"/>
        </w:rPr>
        <w:t>公务用车运行维护费、其他交通费用、</w:t>
      </w:r>
      <w:r w:rsidRPr="003604D7">
        <w:rPr>
          <w:rFonts w:ascii="仿宋" w:eastAsia="仿宋" w:hAnsi="仿宋" w:hint="eastAsia"/>
          <w:sz w:val="32"/>
          <w:szCs w:val="32"/>
        </w:rPr>
        <w:t xml:space="preserve">其他商品和服务支出。 </w:t>
      </w:r>
    </w:p>
    <w:p w:rsidR="00712143" w:rsidRDefault="00DB24A5">
      <w:pPr>
        <w:spacing w:line="600" w:lineRule="atLeast"/>
        <w:ind w:firstLine="640"/>
        <w:jc w:val="both"/>
      </w:pPr>
      <w:r>
        <w:rPr>
          <w:rStyle w:val="a6"/>
          <w:rFonts w:ascii="楷体" w:eastAsia="楷体" w:hAnsi="楷体" w:cs="Arial" w:hint="eastAsia"/>
          <w:sz w:val="32"/>
          <w:szCs w:val="32"/>
        </w:rPr>
        <w:t xml:space="preserve">（七）政府性基金财政拨款支出决算情况说明 </w:t>
      </w:r>
    </w:p>
    <w:p w:rsidR="00712143" w:rsidRDefault="00DB24A5">
      <w:pPr>
        <w:spacing w:line="600" w:lineRule="atLeast"/>
        <w:ind w:firstLineChars="200" w:firstLine="640"/>
        <w:jc w:val="both"/>
      </w:pPr>
      <w:r>
        <w:rPr>
          <w:rFonts w:ascii="仿宋" w:eastAsia="仿宋" w:hAnsi="仿宋" w:hint="eastAsia"/>
          <w:sz w:val="32"/>
          <w:szCs w:val="32"/>
        </w:rPr>
        <w:t>我校201</w:t>
      </w:r>
      <w:r w:rsidR="00BB6F7D">
        <w:rPr>
          <w:rFonts w:ascii="仿宋" w:eastAsia="仿宋" w:hAnsi="仿宋" w:hint="eastAsia"/>
          <w:sz w:val="32"/>
          <w:szCs w:val="32"/>
        </w:rPr>
        <w:t>8</w:t>
      </w:r>
      <w:r>
        <w:rPr>
          <w:rFonts w:ascii="仿宋" w:eastAsia="仿宋" w:hAnsi="仿宋" w:hint="eastAsia"/>
          <w:sz w:val="32"/>
          <w:szCs w:val="32"/>
        </w:rPr>
        <w:t>年没有政府性基金收入支出。</w:t>
      </w:r>
    </w:p>
    <w:p w:rsidR="00712143" w:rsidRDefault="00DB24A5">
      <w:pPr>
        <w:spacing w:line="600" w:lineRule="atLeast"/>
        <w:ind w:firstLine="640"/>
        <w:jc w:val="both"/>
      </w:pPr>
      <w:r>
        <w:rPr>
          <w:rStyle w:val="a6"/>
          <w:rFonts w:ascii="楷体" w:eastAsia="楷体" w:hAnsi="楷体" w:cs="Arial" w:hint="eastAsia"/>
          <w:sz w:val="32"/>
          <w:szCs w:val="32"/>
        </w:rPr>
        <w:t>（八）201</w:t>
      </w:r>
      <w:r w:rsidR="00BB6F7D">
        <w:rPr>
          <w:rStyle w:val="a6"/>
          <w:rFonts w:ascii="楷体" w:eastAsia="楷体" w:hAnsi="楷体" w:cs="Arial" w:hint="eastAsia"/>
          <w:sz w:val="32"/>
          <w:szCs w:val="32"/>
        </w:rPr>
        <w:t>8</w:t>
      </w:r>
      <w:r>
        <w:rPr>
          <w:rStyle w:val="a6"/>
          <w:rFonts w:ascii="楷体" w:eastAsia="楷体" w:hAnsi="楷体" w:cs="Arial" w:hint="eastAsia"/>
          <w:sz w:val="32"/>
          <w:szCs w:val="32"/>
        </w:rPr>
        <w:t>年度一般公共预算财政拨款“三公”经费支出决算情况说明</w:t>
      </w:r>
    </w:p>
    <w:p w:rsidR="00712143" w:rsidRDefault="00BB6F7D" w:rsidP="00BB6F7D">
      <w:pPr>
        <w:spacing w:line="600" w:lineRule="atLeast"/>
        <w:ind w:firstLineChars="200" w:firstLine="640"/>
        <w:jc w:val="both"/>
        <w:rPr>
          <w:rFonts w:ascii="仿宋" w:eastAsia="仿宋" w:hAnsi="仿宋"/>
          <w:sz w:val="32"/>
          <w:szCs w:val="32"/>
        </w:rPr>
      </w:pPr>
      <w:r w:rsidRPr="00BB6F7D">
        <w:rPr>
          <w:rFonts w:ascii="仿宋" w:eastAsia="仿宋" w:hAnsi="仿宋" w:hint="eastAsia"/>
          <w:sz w:val="32"/>
          <w:szCs w:val="32"/>
        </w:rPr>
        <w:t>“三公”经费总额预算数为543000元，决算数为294087.61元。其中因公出国（境）费预算数180000元，决算数为73065.68；公务用车运行维护费年初预算数213000元，决算数为106122.87元，因为车改公车上交2辆；公务接待费年初预算数150000元，决算数为114899.06元，因为贯彻落实党中央八项规定，厉行节俭。公务用车保有3辆，上交2辆。因公出国（境）团组数没有，因公出国（境）人数3人。</w:t>
      </w:r>
    </w:p>
    <w:p w:rsidR="00712143" w:rsidRDefault="00DB24A5">
      <w:pPr>
        <w:spacing w:line="600" w:lineRule="atLeast"/>
        <w:ind w:firstLine="640"/>
        <w:jc w:val="both"/>
      </w:pPr>
      <w:r>
        <w:rPr>
          <w:rStyle w:val="a6"/>
          <w:rFonts w:ascii="楷体" w:eastAsia="楷体" w:hAnsi="楷体" w:cs="Arial" w:hint="eastAsia"/>
          <w:sz w:val="32"/>
          <w:szCs w:val="32"/>
        </w:rPr>
        <w:t>（</w:t>
      </w:r>
      <w:r w:rsidR="00C63ECE">
        <w:rPr>
          <w:rStyle w:val="a6"/>
          <w:rFonts w:ascii="楷体" w:eastAsia="楷体" w:hAnsi="楷体" w:cs="Arial" w:hint="eastAsia"/>
          <w:sz w:val="32"/>
          <w:szCs w:val="32"/>
        </w:rPr>
        <w:t>九</w:t>
      </w:r>
      <w:r>
        <w:rPr>
          <w:rStyle w:val="a6"/>
          <w:rFonts w:ascii="楷体" w:eastAsia="楷体" w:hAnsi="楷体" w:cs="Arial" w:hint="eastAsia"/>
          <w:sz w:val="32"/>
          <w:szCs w:val="32"/>
        </w:rPr>
        <w:t>）</w:t>
      </w:r>
      <w:r w:rsidR="00BB6F7D" w:rsidRPr="00BB6F7D">
        <w:rPr>
          <w:rStyle w:val="a6"/>
          <w:rFonts w:ascii="楷体" w:eastAsia="楷体" w:hAnsi="楷体" w:cs="Arial" w:hint="eastAsia"/>
          <w:sz w:val="32"/>
          <w:szCs w:val="32"/>
        </w:rPr>
        <w:t>决算数据其他需要说明的情况</w:t>
      </w:r>
    </w:p>
    <w:p w:rsidR="00BB6F7D" w:rsidRPr="00BB6F7D" w:rsidRDefault="00BB6F7D" w:rsidP="00BB6F7D">
      <w:pPr>
        <w:ind w:firstLine="480"/>
        <w:rPr>
          <w:rFonts w:ascii="仿宋" w:eastAsia="仿宋" w:hAnsi="仿宋"/>
          <w:sz w:val="32"/>
          <w:szCs w:val="32"/>
        </w:rPr>
      </w:pPr>
      <w:r w:rsidRPr="00BB6F7D">
        <w:rPr>
          <w:rFonts w:ascii="仿宋" w:eastAsia="仿宋" w:hAnsi="仿宋" w:hint="eastAsia"/>
          <w:sz w:val="32"/>
          <w:szCs w:val="32"/>
        </w:rPr>
        <w:lastRenderedPageBreak/>
        <w:t>1．“收入决算表”中其他收入的具体构成情况，是新校园建设在建工程支出款项，包含银行贷款和两校置换款项。</w:t>
      </w:r>
    </w:p>
    <w:p w:rsidR="00BB6F7D" w:rsidRPr="00BB6F7D" w:rsidRDefault="00BB6F7D" w:rsidP="00BB6F7D">
      <w:pPr>
        <w:ind w:firstLine="480"/>
        <w:rPr>
          <w:rFonts w:ascii="仿宋" w:eastAsia="仿宋" w:hAnsi="仿宋"/>
          <w:sz w:val="32"/>
          <w:szCs w:val="32"/>
        </w:rPr>
      </w:pPr>
      <w:r w:rsidRPr="00BB6F7D">
        <w:rPr>
          <w:rFonts w:ascii="仿宋" w:eastAsia="仿宋" w:hAnsi="仿宋" w:hint="eastAsia"/>
          <w:sz w:val="32"/>
          <w:szCs w:val="32"/>
        </w:rPr>
        <w:t>2.年末结转和结余没有负数情况。</w:t>
      </w:r>
    </w:p>
    <w:p w:rsidR="00BB6F7D" w:rsidRPr="00BB6F7D" w:rsidRDefault="000427B9" w:rsidP="00A36EFD">
      <w:pPr>
        <w:ind w:firstLineChars="150" w:firstLine="480"/>
        <w:rPr>
          <w:rFonts w:ascii="仿宋" w:eastAsia="仿宋" w:hAnsi="仿宋"/>
          <w:sz w:val="32"/>
          <w:szCs w:val="32"/>
        </w:rPr>
      </w:pPr>
      <w:r>
        <w:rPr>
          <w:rFonts w:ascii="仿宋" w:eastAsia="仿宋" w:hAnsi="仿宋" w:hint="eastAsia"/>
          <w:sz w:val="32"/>
          <w:szCs w:val="32"/>
        </w:rPr>
        <w:t>3</w:t>
      </w:r>
      <w:r w:rsidR="00BB6F7D" w:rsidRPr="00BB6F7D">
        <w:rPr>
          <w:rFonts w:ascii="仿宋" w:eastAsia="仿宋" w:hAnsi="仿宋" w:hint="eastAsia"/>
          <w:sz w:val="32"/>
          <w:szCs w:val="32"/>
        </w:rPr>
        <w:t>.政府采购支出情况：实际采购金额6425650.82元</w:t>
      </w:r>
      <w:r w:rsidR="00BB6F7D" w:rsidRPr="00BB6F7D">
        <w:rPr>
          <w:rFonts w:ascii="仿宋" w:eastAsia="仿宋" w:hAnsi="仿宋"/>
          <w:sz w:val="32"/>
          <w:szCs w:val="32"/>
        </w:rPr>
        <w:t xml:space="preserve"> </w:t>
      </w:r>
      <w:r w:rsidR="00BB6F7D" w:rsidRPr="00BB6F7D">
        <w:rPr>
          <w:rFonts w:ascii="仿宋" w:eastAsia="仿宋" w:hAnsi="仿宋" w:hint="eastAsia"/>
          <w:sz w:val="32"/>
          <w:szCs w:val="32"/>
        </w:rPr>
        <w:t>，其中货物类采购3533301.94元，从设备购置费项目列支；</w:t>
      </w:r>
      <w:proofErr w:type="gramStart"/>
      <w:r>
        <w:rPr>
          <w:rFonts w:ascii="仿宋" w:eastAsia="仿宋" w:hAnsi="仿宋" w:hint="eastAsia"/>
          <w:sz w:val="32"/>
          <w:szCs w:val="32"/>
        </w:rPr>
        <w:t>工程类采</w:t>
      </w:r>
      <w:proofErr w:type="gramEnd"/>
      <w:r w:rsidR="00BB6F7D" w:rsidRPr="00BB6F7D">
        <w:rPr>
          <w:rFonts w:ascii="仿宋" w:eastAsia="仿宋" w:hAnsi="仿宋" w:hint="eastAsia"/>
          <w:sz w:val="32"/>
          <w:szCs w:val="32"/>
        </w:rPr>
        <w:t>1715957.9元，用于大型修缮，从设备购置费项目列支；服务类采购1176390.98元，用于绿化、保洁、保安等物业管理，从基本支出中列支。</w:t>
      </w:r>
    </w:p>
    <w:p w:rsidR="00712143" w:rsidRDefault="00DB24A5">
      <w:pPr>
        <w:spacing w:line="600" w:lineRule="atLeast"/>
        <w:ind w:firstLine="640"/>
        <w:jc w:val="both"/>
      </w:pPr>
      <w:r>
        <w:rPr>
          <w:rStyle w:val="a6"/>
          <w:rFonts w:cs="Arial" w:hint="eastAsia"/>
          <w:sz w:val="32"/>
          <w:szCs w:val="32"/>
        </w:rPr>
        <w:t>四、名词解释</w:t>
      </w:r>
    </w:p>
    <w:p w:rsidR="00712143" w:rsidRDefault="00DB24A5">
      <w:pPr>
        <w:spacing w:line="600" w:lineRule="atLeast"/>
        <w:ind w:firstLine="640"/>
        <w:jc w:val="both"/>
      </w:pPr>
      <w:r>
        <w:rPr>
          <w:rFonts w:ascii="仿宋" w:eastAsia="仿宋" w:hAnsi="仿宋" w:hint="eastAsia"/>
          <w:sz w:val="32"/>
          <w:szCs w:val="32"/>
        </w:rPr>
        <w:t>1.财政拨款收入：本级财政部</w:t>
      </w:r>
      <w:proofErr w:type="gramStart"/>
      <w:r>
        <w:rPr>
          <w:rFonts w:ascii="仿宋" w:eastAsia="仿宋" w:hAnsi="仿宋" w:hint="eastAsia"/>
          <w:sz w:val="32"/>
          <w:szCs w:val="32"/>
        </w:rPr>
        <w:t>门当年</w:t>
      </w:r>
      <w:proofErr w:type="gramEnd"/>
      <w:r>
        <w:rPr>
          <w:rFonts w:ascii="仿宋" w:eastAsia="仿宋" w:hAnsi="仿宋" w:hint="eastAsia"/>
          <w:sz w:val="32"/>
          <w:szCs w:val="32"/>
        </w:rPr>
        <w:t>拨付的财政预算资金，包括一般公共预算财政拨款和政府性基金预算财政拨款。</w:t>
      </w:r>
    </w:p>
    <w:p w:rsidR="00712143" w:rsidRDefault="00DB24A5">
      <w:pPr>
        <w:spacing w:line="600" w:lineRule="atLeast"/>
        <w:ind w:firstLine="640"/>
        <w:jc w:val="both"/>
      </w:pPr>
      <w:r>
        <w:rPr>
          <w:rFonts w:ascii="仿宋" w:eastAsia="仿宋" w:hAnsi="仿宋" w:hint="eastAsia"/>
          <w:sz w:val="32"/>
          <w:szCs w:val="32"/>
        </w:rPr>
        <w:t>2.事业单位专户资金:作为本部门的事业收入，纳入财政专户管理的资金。</w:t>
      </w:r>
    </w:p>
    <w:p w:rsidR="00712143" w:rsidRDefault="00DB24A5">
      <w:pPr>
        <w:spacing w:line="600" w:lineRule="atLeast"/>
        <w:ind w:firstLine="640"/>
        <w:jc w:val="both"/>
      </w:pPr>
      <w:r>
        <w:rPr>
          <w:rFonts w:ascii="仿宋" w:eastAsia="仿宋" w:hAnsi="仿宋" w:hint="eastAsia"/>
          <w:sz w:val="32"/>
          <w:szCs w:val="32"/>
        </w:rPr>
        <w:t>3.事业收入：事业单位开展专业业务活动及辅助活动所取得的收入，不含专户资金收入。</w:t>
      </w:r>
    </w:p>
    <w:p w:rsidR="00712143" w:rsidRDefault="00DB24A5">
      <w:pPr>
        <w:spacing w:line="600" w:lineRule="atLeast"/>
        <w:ind w:firstLine="640"/>
        <w:jc w:val="both"/>
      </w:pPr>
      <w:r>
        <w:rPr>
          <w:rFonts w:ascii="仿宋" w:eastAsia="仿宋" w:hAnsi="仿宋" w:hint="eastAsia"/>
          <w:sz w:val="32"/>
          <w:szCs w:val="32"/>
        </w:rPr>
        <w:t>4.事业单位经营收入：事业单位在专业业务活动及辅助活动之外开展非独立核算经营活动取得的收入。</w:t>
      </w:r>
    </w:p>
    <w:p w:rsidR="00712143" w:rsidRDefault="00DB24A5">
      <w:pPr>
        <w:spacing w:line="600" w:lineRule="atLeast"/>
        <w:ind w:firstLine="640"/>
        <w:jc w:val="both"/>
      </w:pPr>
      <w:r>
        <w:rPr>
          <w:rFonts w:ascii="仿宋" w:eastAsia="仿宋" w:hAnsi="仿宋" w:hint="eastAsia"/>
          <w:sz w:val="32"/>
          <w:szCs w:val="32"/>
        </w:rPr>
        <w:t>5.其他收入：预算单位在“财政拨款”、</w:t>
      </w:r>
      <w:proofErr w:type="gramStart"/>
      <w:r>
        <w:rPr>
          <w:rFonts w:ascii="仿宋" w:eastAsia="仿宋" w:hAnsi="仿宋" w:hint="eastAsia"/>
          <w:sz w:val="32"/>
          <w:szCs w:val="32"/>
        </w:rPr>
        <w:t>“</w:t>
      </w:r>
      <w:proofErr w:type="gramEnd"/>
      <w:r>
        <w:rPr>
          <w:rFonts w:ascii="仿宋" w:eastAsia="仿宋" w:hAnsi="仿宋" w:hint="eastAsia"/>
          <w:sz w:val="32"/>
          <w:szCs w:val="32"/>
        </w:rPr>
        <w:t>事业单位专户资金</w:t>
      </w:r>
      <w:proofErr w:type="gramStart"/>
      <w:r>
        <w:rPr>
          <w:rFonts w:ascii="仿宋" w:eastAsia="仿宋" w:hAnsi="仿宋" w:hint="eastAsia"/>
          <w:sz w:val="32"/>
          <w:szCs w:val="32"/>
        </w:rPr>
        <w:t>“</w:t>
      </w:r>
      <w:proofErr w:type="gramEnd"/>
      <w:r>
        <w:rPr>
          <w:rFonts w:ascii="仿宋" w:eastAsia="仿宋" w:hAnsi="仿宋" w:hint="eastAsia"/>
          <w:sz w:val="32"/>
          <w:szCs w:val="32"/>
        </w:rPr>
        <w:t>、“事业收入”、“事业单位经营收入”、“上级补助收入”、“附属单位上缴收入”等之外取得的各项收入。</w:t>
      </w:r>
    </w:p>
    <w:p w:rsidR="00712143" w:rsidRDefault="00DB24A5">
      <w:pPr>
        <w:spacing w:line="600" w:lineRule="atLeast"/>
        <w:ind w:firstLine="640"/>
        <w:jc w:val="both"/>
      </w:pPr>
      <w:r>
        <w:rPr>
          <w:rFonts w:ascii="仿宋" w:eastAsia="仿宋" w:hAnsi="仿宋" w:hint="eastAsia"/>
          <w:sz w:val="32"/>
          <w:szCs w:val="32"/>
        </w:rPr>
        <w:t xml:space="preserve">6.用事业基金弥补收支差额：指事业单位在用当年的“财政拨款收入”、“专户资金”、“事业收入”、“事业单位经营收入”、 </w:t>
      </w:r>
      <w:r>
        <w:rPr>
          <w:rFonts w:ascii="仿宋" w:eastAsia="仿宋" w:hAnsi="仿宋" w:hint="eastAsia"/>
          <w:sz w:val="32"/>
          <w:szCs w:val="32"/>
        </w:rPr>
        <w:lastRenderedPageBreak/>
        <w:t>“其他收入”、“上年结转”等不足以安排当年支出的情况下，使用以前年度积累的事业基金弥补本年收支缺口的资金。</w:t>
      </w:r>
    </w:p>
    <w:p w:rsidR="00712143" w:rsidRDefault="00DB24A5">
      <w:pPr>
        <w:spacing w:line="600" w:lineRule="atLeast"/>
        <w:ind w:firstLine="640"/>
        <w:jc w:val="both"/>
      </w:pPr>
      <w:r>
        <w:rPr>
          <w:rFonts w:ascii="仿宋" w:eastAsia="仿宋" w:hAnsi="仿宋" w:hint="eastAsia"/>
          <w:sz w:val="32"/>
          <w:szCs w:val="32"/>
        </w:rPr>
        <w:t>7.年初结转结余：指以前年度尚未完成、结转到本年仍按原规定用途继续使用的资金。</w:t>
      </w:r>
    </w:p>
    <w:p w:rsidR="00712143" w:rsidRDefault="00DB24A5">
      <w:pPr>
        <w:spacing w:line="600" w:lineRule="atLeast"/>
        <w:ind w:firstLine="640"/>
        <w:jc w:val="both"/>
      </w:pPr>
      <w:r>
        <w:rPr>
          <w:rFonts w:ascii="仿宋" w:eastAsia="仿宋" w:hAnsi="仿宋" w:hint="eastAsia"/>
          <w:sz w:val="32"/>
          <w:szCs w:val="32"/>
        </w:rPr>
        <w:t>8.年末结转和结余：是指预算单位本年底前的收入预算未执行完毕，需结转下年度按照原用途继续使用的结转资金，以及本年底前收支相抵后 盈余或亏损的结余资金，其中包括当年事业单位按照国家规定，用于核算当年应交所得税和提取事业基金、专用基金的分配情况和结果。</w:t>
      </w:r>
    </w:p>
    <w:p w:rsidR="00712143" w:rsidRDefault="00DB24A5">
      <w:pPr>
        <w:spacing w:line="600" w:lineRule="atLeast"/>
        <w:ind w:firstLine="640"/>
        <w:jc w:val="both"/>
      </w:pPr>
      <w:r>
        <w:rPr>
          <w:rFonts w:ascii="仿宋" w:eastAsia="仿宋" w:hAnsi="仿宋" w:hint="eastAsia"/>
          <w:sz w:val="32"/>
          <w:szCs w:val="32"/>
        </w:rPr>
        <w:t>9.基本支出：是预算单位为保障其正常运转，完成日常工作任务所发生的支出，包括人员支出和日常公用支出。</w:t>
      </w:r>
    </w:p>
    <w:p w:rsidR="00712143" w:rsidRDefault="00DB24A5">
      <w:pPr>
        <w:spacing w:line="600" w:lineRule="atLeast"/>
        <w:ind w:firstLine="640"/>
        <w:jc w:val="both"/>
      </w:pPr>
      <w:r>
        <w:rPr>
          <w:rFonts w:ascii="仿宋" w:eastAsia="仿宋" w:hAnsi="仿宋" w:hint="eastAsia"/>
          <w:sz w:val="32"/>
          <w:szCs w:val="32"/>
        </w:rPr>
        <w:t>10.项目支出：是预算单位为完成其特定的行政工作任务或事业发展目标所发生的支出。</w:t>
      </w:r>
    </w:p>
    <w:p w:rsidR="00712143" w:rsidRDefault="00DB24A5">
      <w:pPr>
        <w:spacing w:line="600" w:lineRule="atLeast"/>
        <w:ind w:firstLine="640"/>
        <w:jc w:val="both"/>
      </w:pPr>
      <w:r>
        <w:rPr>
          <w:rFonts w:ascii="仿宋" w:eastAsia="仿宋" w:hAnsi="仿宋" w:hint="eastAsia"/>
          <w:sz w:val="32"/>
          <w:szCs w:val="32"/>
        </w:rPr>
        <w:t xml:space="preserve">11.机关运行经费：是行政单位和参照公务员法管理的事业单位使用一般公共预算财政拨款安排的基本支出中的日常公用经费支出。 </w:t>
      </w:r>
    </w:p>
    <w:p w:rsidR="00712143" w:rsidRDefault="00712143">
      <w:pPr>
        <w:spacing w:line="600" w:lineRule="atLeast"/>
        <w:ind w:firstLine="640"/>
        <w:jc w:val="both"/>
      </w:pPr>
    </w:p>
    <w:p w:rsidR="00712143" w:rsidRDefault="00712143">
      <w:pPr>
        <w:spacing w:line="600" w:lineRule="atLeast"/>
        <w:ind w:firstLine="640"/>
        <w:jc w:val="both"/>
        <w:rPr>
          <w:rFonts w:ascii="仿宋" w:eastAsia="仿宋" w:hAnsi="仿宋"/>
          <w:sz w:val="32"/>
          <w:szCs w:val="32"/>
        </w:rPr>
      </w:pPr>
    </w:p>
    <w:p w:rsidR="00712143" w:rsidRDefault="00712143">
      <w:pPr>
        <w:spacing w:line="600" w:lineRule="atLeast"/>
        <w:ind w:firstLine="640"/>
        <w:jc w:val="both"/>
      </w:pPr>
    </w:p>
    <w:p w:rsidR="00712143" w:rsidRDefault="00712143">
      <w:pPr>
        <w:spacing w:line="600" w:lineRule="atLeast"/>
        <w:ind w:firstLine="640"/>
        <w:jc w:val="both"/>
      </w:pPr>
    </w:p>
    <w:p w:rsidR="00712143" w:rsidRDefault="00712143">
      <w:pPr>
        <w:spacing w:line="600" w:lineRule="atLeast"/>
        <w:ind w:firstLine="640"/>
        <w:jc w:val="both"/>
      </w:pPr>
    </w:p>
    <w:p w:rsidR="00DB24A5" w:rsidRDefault="00DB24A5" w:rsidP="00FD07AC">
      <w:pPr>
        <w:spacing w:line="600" w:lineRule="atLeast"/>
        <w:jc w:val="both"/>
      </w:pPr>
    </w:p>
    <w:sectPr w:rsidR="00DB24A5" w:rsidSect="00031261">
      <w:headerReference w:type="even" r:id="rId16"/>
      <w:headerReference w:type="default" r:id="rId17"/>
      <w:footerReference w:type="even" r:id="rId18"/>
      <w:footerReference w:type="default" r:id="rId19"/>
      <w:headerReference w:type="first" r:id="rId20"/>
      <w:footerReference w:type="first" r:id="rId21"/>
      <w:pgSz w:w="11907"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FC" w:rsidRDefault="00774AFC">
      <w:r>
        <w:separator/>
      </w:r>
    </w:p>
  </w:endnote>
  <w:endnote w:type="continuationSeparator" w:id="0">
    <w:p w:rsidR="00774AFC" w:rsidRDefault="0077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FC" w:rsidRDefault="00774AFC">
      <w:r>
        <w:separator/>
      </w:r>
    </w:p>
  </w:footnote>
  <w:footnote w:type="continuationSeparator" w:id="0">
    <w:p w:rsidR="00774AFC" w:rsidRDefault="0077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43" w:rsidRDefault="007121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oNotDisplayPageBoundarie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234CCE"/>
    <w:rsid w:val="00031261"/>
    <w:rsid w:val="000427B9"/>
    <w:rsid w:val="001848D3"/>
    <w:rsid w:val="00234CCE"/>
    <w:rsid w:val="002903FA"/>
    <w:rsid w:val="003604D7"/>
    <w:rsid w:val="0041482C"/>
    <w:rsid w:val="00431D64"/>
    <w:rsid w:val="004814EE"/>
    <w:rsid w:val="00496BF1"/>
    <w:rsid w:val="004B6491"/>
    <w:rsid w:val="004F2049"/>
    <w:rsid w:val="006F0945"/>
    <w:rsid w:val="00712143"/>
    <w:rsid w:val="007523D9"/>
    <w:rsid w:val="00774AFC"/>
    <w:rsid w:val="00786704"/>
    <w:rsid w:val="009D491D"/>
    <w:rsid w:val="00A36EFD"/>
    <w:rsid w:val="00A63F9C"/>
    <w:rsid w:val="00A64F88"/>
    <w:rsid w:val="00B528C1"/>
    <w:rsid w:val="00B60C79"/>
    <w:rsid w:val="00BB6DF1"/>
    <w:rsid w:val="00BB6F7D"/>
    <w:rsid w:val="00C354DF"/>
    <w:rsid w:val="00C63ECE"/>
    <w:rsid w:val="00D76C18"/>
    <w:rsid w:val="00D91D90"/>
    <w:rsid w:val="00DB24A5"/>
    <w:rsid w:val="00DD1974"/>
    <w:rsid w:val="00E226A1"/>
    <w:rsid w:val="00E87CE9"/>
    <w:rsid w:val="00F50C41"/>
    <w:rsid w:val="00FD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character" w:styleId="a6">
    <w:name w:val="Strong"/>
    <w:basedOn w:val="a0"/>
    <w:uiPriority w:val="22"/>
    <w:qFormat/>
    <w:rPr>
      <w:b/>
      <w:bCs/>
    </w:rPr>
  </w:style>
  <w:style w:type="paragraph" w:styleId="a7">
    <w:name w:val="Balloon Text"/>
    <w:basedOn w:val="a"/>
    <w:link w:val="Char1"/>
    <w:uiPriority w:val="99"/>
    <w:semiHidden/>
    <w:unhideWhenUsed/>
    <w:rsid w:val="00031261"/>
    <w:rPr>
      <w:sz w:val="18"/>
      <w:szCs w:val="18"/>
    </w:rPr>
  </w:style>
  <w:style w:type="character" w:customStyle="1" w:styleId="Char1">
    <w:name w:val="批注框文本 Char"/>
    <w:basedOn w:val="a0"/>
    <w:link w:val="a7"/>
    <w:uiPriority w:val="99"/>
    <w:semiHidden/>
    <w:rsid w:val="00031261"/>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character" w:styleId="a6">
    <w:name w:val="Strong"/>
    <w:basedOn w:val="a0"/>
    <w:uiPriority w:val="22"/>
    <w:qFormat/>
    <w:rPr>
      <w:b/>
      <w:bCs/>
    </w:rPr>
  </w:style>
  <w:style w:type="paragraph" w:styleId="a7">
    <w:name w:val="Balloon Text"/>
    <w:basedOn w:val="a"/>
    <w:link w:val="Char1"/>
    <w:uiPriority w:val="99"/>
    <w:semiHidden/>
    <w:unhideWhenUsed/>
    <w:rsid w:val="00031261"/>
    <w:rPr>
      <w:sz w:val="18"/>
      <w:szCs w:val="18"/>
    </w:rPr>
  </w:style>
  <w:style w:type="character" w:customStyle="1" w:styleId="Char1">
    <w:name w:val="批注框文本 Char"/>
    <w:basedOn w:val="a0"/>
    <w:link w:val="a7"/>
    <w:uiPriority w:val="99"/>
    <w:semiHidden/>
    <w:rsid w:val="00031261"/>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778">
      <w:marLeft w:val="0"/>
      <w:marRight w:val="0"/>
      <w:marTop w:val="0"/>
      <w:marBottom w:val="0"/>
      <w:divBdr>
        <w:top w:val="none" w:sz="0" w:space="0" w:color="auto"/>
        <w:left w:val="none" w:sz="0" w:space="0" w:color="auto"/>
        <w:bottom w:val="none" w:sz="0" w:space="0" w:color="auto"/>
        <w:right w:val="none" w:sz="0" w:space="0" w:color="auto"/>
      </w:divBdr>
    </w:div>
    <w:div w:id="496383108">
      <w:marLeft w:val="0"/>
      <w:marRight w:val="0"/>
      <w:marTop w:val="0"/>
      <w:marBottom w:val="0"/>
      <w:divBdr>
        <w:top w:val="none" w:sz="0" w:space="0" w:color="auto"/>
        <w:left w:val="none" w:sz="0" w:space="0" w:color="auto"/>
        <w:bottom w:val="none" w:sz="0" w:space="0" w:color="auto"/>
        <w:right w:val="none" w:sz="0" w:space="0" w:color="auto"/>
      </w:divBdr>
    </w:div>
    <w:div w:id="610358238">
      <w:marLeft w:val="0"/>
      <w:marRight w:val="0"/>
      <w:marTop w:val="0"/>
      <w:marBottom w:val="0"/>
      <w:divBdr>
        <w:top w:val="none" w:sz="0" w:space="0" w:color="auto"/>
        <w:left w:val="none" w:sz="0" w:space="0" w:color="auto"/>
        <w:bottom w:val="none" w:sz="0" w:space="0" w:color="auto"/>
        <w:right w:val="none" w:sz="0" w:space="0" w:color="auto"/>
      </w:divBdr>
    </w:div>
    <w:div w:id="817039466">
      <w:marLeft w:val="0"/>
      <w:marRight w:val="0"/>
      <w:marTop w:val="0"/>
      <w:marBottom w:val="0"/>
      <w:divBdr>
        <w:top w:val="none" w:sz="0" w:space="0" w:color="auto"/>
        <w:left w:val="none" w:sz="0" w:space="0" w:color="auto"/>
        <w:bottom w:val="none" w:sz="0" w:space="0" w:color="auto"/>
        <w:right w:val="none" w:sz="0" w:space="0" w:color="auto"/>
      </w:divBdr>
    </w:div>
    <w:div w:id="1054893386">
      <w:marLeft w:val="0"/>
      <w:marRight w:val="0"/>
      <w:marTop w:val="0"/>
      <w:marBottom w:val="0"/>
      <w:divBdr>
        <w:top w:val="none" w:sz="0" w:space="0" w:color="auto"/>
        <w:left w:val="none" w:sz="0" w:space="0" w:color="auto"/>
        <w:bottom w:val="none" w:sz="0" w:space="0" w:color="auto"/>
        <w:right w:val="none" w:sz="0" w:space="0" w:color="auto"/>
      </w:divBdr>
    </w:div>
    <w:div w:id="1368262128">
      <w:marLeft w:val="0"/>
      <w:marRight w:val="0"/>
      <w:marTop w:val="0"/>
      <w:marBottom w:val="0"/>
      <w:divBdr>
        <w:top w:val="none" w:sz="0" w:space="0" w:color="auto"/>
        <w:left w:val="none" w:sz="0" w:space="0" w:color="auto"/>
        <w:bottom w:val="none" w:sz="0" w:space="0" w:color="auto"/>
        <w:right w:val="none" w:sz="0" w:space="0" w:color="auto"/>
      </w:divBdr>
    </w:div>
    <w:div w:id="1581795645">
      <w:marLeft w:val="0"/>
      <w:marRight w:val="0"/>
      <w:marTop w:val="0"/>
      <w:marBottom w:val="0"/>
      <w:divBdr>
        <w:top w:val="none" w:sz="0" w:space="0" w:color="auto"/>
        <w:left w:val="none" w:sz="0" w:space="0" w:color="auto"/>
        <w:bottom w:val="none" w:sz="0" w:space="0" w:color="auto"/>
        <w:right w:val="none" w:sz="0" w:space="0" w:color="auto"/>
      </w:divBdr>
    </w:div>
    <w:div w:id="185633890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D1C0-A2E9-4F2E-B2FD-F67768EB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632</Words>
  <Characters>3608</Characters>
  <Application>Microsoft Office Word</Application>
  <DocSecurity>0</DocSecurity>
  <Lines>30</Lines>
  <Paragraphs>8</Paragraphs>
  <ScaleCrop>false</ScaleCrop>
  <Company>China</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Administrator</dc:creator>
  <cp:lastModifiedBy>User</cp:lastModifiedBy>
  <cp:revision>2</cp:revision>
  <dcterms:created xsi:type="dcterms:W3CDTF">2019-06-20T07:36:00Z</dcterms:created>
  <dcterms:modified xsi:type="dcterms:W3CDTF">2019-06-20T07:36:00Z</dcterms:modified>
</cp:coreProperties>
</file>