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1" w:firstLineChars="200"/>
        <w:jc w:val="center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第4章  数控加工工艺基础</w:t>
      </w:r>
    </w:p>
    <w:p>
      <w:pPr>
        <w:widowControl/>
        <w:numPr>
          <w:ilvl w:val="0"/>
          <w:numId w:val="1"/>
        </w:numPr>
        <w:ind w:firstLine="361" w:firstLineChars="200"/>
        <w:rPr>
          <w:rFonts w:hint="eastAsia" w:ascii="宋体"/>
          <w:b/>
          <w:bCs/>
          <w:sz w:val="18"/>
          <w:szCs w:val="18"/>
        </w:rPr>
      </w:pPr>
      <w:r>
        <w:rPr>
          <w:rFonts w:hint="eastAsia" w:ascii="宋体"/>
          <w:b/>
          <w:bCs/>
          <w:sz w:val="18"/>
          <w:szCs w:val="18"/>
        </w:rPr>
        <w:t>单项：</w:t>
      </w:r>
    </w:p>
    <w:p>
      <w:pPr>
        <w:widowControl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1、零件的机械加工精度主要包括（  D  ）。</w:t>
      </w:r>
    </w:p>
    <w:p>
      <w:pPr>
        <w:pStyle w:val="2"/>
        <w:widowControl/>
        <w:snapToGrid w:val="0"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 xml:space="preserve">（A）机床精度、几何形状精度、相对位置精度 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（B）尺寸精度、几何形状精度、装夹精度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（C）尺寸精度、定位精度、相对位置精度</w:t>
      </w:r>
    </w:p>
    <w:p>
      <w:pPr>
        <w:widowControl/>
        <w:ind w:firstLine="43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（D）尺寸精度、几何形状精度、相对位置精度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kern w:val="0"/>
          <w:sz w:val="18"/>
          <w:szCs w:val="18"/>
        </w:rPr>
        <w:t>2、</w:t>
      </w:r>
      <w:r>
        <w:rPr>
          <w:rFonts w:hint="eastAsia" w:hAnsi="宋体" w:cs="Times New Roman"/>
          <w:sz w:val="18"/>
          <w:szCs w:val="18"/>
        </w:rPr>
        <w:t>制订加工方案的一般原则为先粗后精、先近后远、先内后外，程序段最少，（ A   ）及特殊情况特殊处理。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（A）走刀路线最短             （B）将复杂轮廓简化成简单轮廓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（C）将手工编程改成自动编程   （D）将空间曲线转化为平面曲线</w:t>
      </w:r>
    </w:p>
    <w:p>
      <w:pPr>
        <w:pStyle w:val="2"/>
        <w:widowControl/>
        <w:tabs>
          <w:tab w:val="left" w:pos="2160"/>
        </w:tabs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kern w:val="0"/>
          <w:sz w:val="18"/>
          <w:szCs w:val="18"/>
        </w:rPr>
        <w:t>3、</w:t>
      </w:r>
      <w:r>
        <w:rPr>
          <w:rFonts w:hint="eastAsia" w:hAnsi="宋体" w:cs="Times New Roman"/>
          <w:sz w:val="18"/>
          <w:szCs w:val="18"/>
        </w:rPr>
        <w:t>换刀点是指在编制数控程序时/相对于机床固定参考点而设置的一个自动换刀的位置/它一般不能设置在(A  )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（A）加工零件上              （B）程序原点上</w:t>
      </w:r>
    </w:p>
    <w:p>
      <w:pPr>
        <w:widowControl/>
        <w:ind w:firstLine="43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（C）机床固定参考点上        （D）浮动原点上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kern w:val="0"/>
          <w:sz w:val="18"/>
          <w:szCs w:val="18"/>
        </w:rPr>
        <w:t>4、</w:t>
      </w:r>
      <w:r>
        <w:rPr>
          <w:rFonts w:hint="eastAsia" w:hAnsi="宋体" w:cs="Times New Roman"/>
          <w:sz w:val="18"/>
          <w:szCs w:val="18"/>
        </w:rPr>
        <w:t>加工精度高、（    B）、自动化程度高，劳动强度低、生产效率高等是数控机床加工的特点。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（A）加工轮廓简单、生产批量又特别大的零件（B）对加工对象的适应性强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（C）装夹困难或必须依靠人工找正、定位才能保证其加工精度的单件零件</w:t>
      </w:r>
    </w:p>
    <w:p>
      <w:pPr>
        <w:widowControl/>
        <w:ind w:firstLine="43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（D）适于加工余量特别大、质及余量都不均匀的坯件</w:t>
      </w:r>
    </w:p>
    <w:p>
      <w:pPr>
        <w:widowControl/>
        <w:ind w:firstLine="43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5、</w:t>
      </w:r>
      <w:r>
        <w:rPr>
          <w:rFonts w:hint="eastAsia" w:ascii="宋体" w:hAnsi="宋体"/>
          <w:sz w:val="18"/>
          <w:szCs w:val="18"/>
        </w:rPr>
        <w:t>在数控加工中，（   D ）相对于工件运动的轨迹称为进给路线，进给路线不仅包括了加工内容，也反映出加工顺序，是编程的依据之一。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（A）刀具原点  （B）刀具  （C）刀具刀尖点  （D）刀具刀位点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kern w:val="0"/>
          <w:sz w:val="18"/>
          <w:szCs w:val="18"/>
        </w:rPr>
        <w:t>6、</w:t>
      </w:r>
      <w:r>
        <w:rPr>
          <w:rFonts w:hint="eastAsia" w:hAnsi="宋体" w:cs="Times New Roman"/>
          <w:sz w:val="18"/>
          <w:szCs w:val="18"/>
        </w:rPr>
        <w:t>下列叙述中（    B），不属于确定加工路线时应遵循的原则。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（A）加工路线应保证被加工零件的精度和表面粗糙度（B）使数值计算简单，以减少编程工作量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（C）应使加工路线最短，这样既可以减少程序短，又可以减少空刀时间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（D）对于既有铣面又有镗孔的零件，可先铣面后镗孔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7、尺寸链按功能分为设计尺寸链和（ D  ）。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（A）封闭尺寸链  （B）装配尺寸链    （C）零件尺寸链   （D）工艺尺寸链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8、下列关于尺寸链叙述正确的是（    C）。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（A）由相互联系的尺寸按顺序排列的链环；（B）一个尺寸链可以有一个以上封闭环；</w:t>
      </w:r>
    </w:p>
    <w:p>
      <w:pPr>
        <w:pStyle w:val="2"/>
        <w:widowControl/>
        <w:ind w:firstLine="360" w:firstLineChars="200"/>
        <w:rPr>
          <w:rFonts w:hint="eastAsia"/>
          <w:sz w:val="18"/>
          <w:szCs w:val="18"/>
        </w:rPr>
      </w:pPr>
      <w:r>
        <w:rPr>
          <w:rFonts w:hint="eastAsia" w:cs="Times New Roman"/>
          <w:sz w:val="18"/>
          <w:szCs w:val="18"/>
        </w:rPr>
        <w:t>（C）在极值算法中，封闭环公差大于任一组成环公差；</w:t>
      </w:r>
      <w:r>
        <w:rPr>
          <w:rFonts w:hint="eastAsia"/>
          <w:sz w:val="18"/>
          <w:szCs w:val="18"/>
        </w:rPr>
        <w:t>（D）分析尺寸链时，与尺寸链中的组成环数目多少无关。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9、零件的相互位置精度主要限制（    D）。</w:t>
      </w:r>
    </w:p>
    <w:p>
      <w:pPr>
        <w:pStyle w:val="2"/>
        <w:widowControl/>
        <w:snapToGrid w:val="0"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（A）加工表面与其基准间尺寸误差不超过一定的范围；（B）限制加工表面的微观几何形状误差；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（C）限制加工表面的宏观几何形状误差；（D）限制加工表面与其基准间的相互位置误差。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10、在下列内容中，不属于工艺基准的是（ D   ）。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（A）定位基准；  （B）测量基准；  （C）装配基准；  （D）设计基准。</w:t>
      </w:r>
    </w:p>
    <w:p>
      <w:pPr>
        <w:widowControl/>
        <w:ind w:left="418" w:leftChars="199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二、判断题（正确的打√，错误的打×）</w:t>
      </w:r>
      <w:r>
        <w:rPr>
          <w:rFonts w:hint="eastAsia" w:ascii="宋体" w:hAnsi="宋体"/>
          <w:color w:val="333333"/>
          <w:sz w:val="18"/>
          <w:szCs w:val="18"/>
        </w:rPr>
        <w:br w:type="textWrapping"/>
      </w:r>
      <w:r>
        <w:rPr>
          <w:rFonts w:hint="eastAsia" w:ascii="宋体" w:hAnsi="宋体"/>
          <w:color w:val="000000"/>
          <w:sz w:val="18"/>
          <w:szCs w:val="18"/>
        </w:rPr>
        <w:t>1、</w:t>
      </w:r>
      <w:r>
        <w:rPr>
          <w:rFonts w:hint="eastAsia" w:ascii="宋体" w:hAnsi="宋体"/>
          <w:sz w:val="18"/>
          <w:szCs w:val="18"/>
        </w:rPr>
        <w:t xml:space="preserve">为避免换刀时刀具与工件或夹具发生干涉，换刀点应设在工件外部。（  </w:t>
      </w:r>
      <w:r>
        <w:rPr>
          <w:rFonts w:hint="eastAsia" w:ascii="宋体" w:hAnsi="宋体"/>
          <w:b/>
          <w:bCs/>
          <w:sz w:val="18"/>
          <w:szCs w:val="18"/>
        </w:rPr>
        <w:t>√</w:t>
      </w:r>
      <w:r>
        <w:rPr>
          <w:rFonts w:hint="eastAsia" w:ascii="宋体" w:hAnsi="宋体"/>
          <w:sz w:val="18"/>
          <w:szCs w:val="18"/>
        </w:rPr>
        <w:t xml:space="preserve">  ）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2、在加工过程中的有关尺寸形成的尺寸链，称为工艺尺寸链。（</w:t>
      </w:r>
      <w:r>
        <w:rPr>
          <w:rFonts w:hint="eastAsia" w:hAnsi="宋体"/>
          <w:b/>
          <w:bCs/>
          <w:sz w:val="18"/>
          <w:szCs w:val="18"/>
        </w:rPr>
        <w:t>×</w:t>
      </w:r>
      <w:r>
        <w:rPr>
          <w:rFonts w:hint="eastAsia" w:hAnsi="宋体" w:cs="Times New Roman"/>
          <w:sz w:val="18"/>
          <w:szCs w:val="18"/>
        </w:rPr>
        <w:t xml:space="preserve">    ）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3、尺寸链按其功能可分为设计尺寸链和工艺尺寸链。（</w:t>
      </w:r>
      <w:r>
        <w:rPr>
          <w:rFonts w:hint="eastAsia" w:ascii="宋体" w:hAnsi="宋体"/>
          <w:b/>
          <w:bCs/>
          <w:sz w:val="18"/>
          <w:szCs w:val="18"/>
        </w:rPr>
        <w:t>√</w:t>
      </w:r>
      <w:r>
        <w:rPr>
          <w:rFonts w:hint="eastAsia" w:ascii="宋体" w:hAnsi="宋体"/>
          <w:sz w:val="18"/>
          <w:szCs w:val="18"/>
        </w:rPr>
        <w:t xml:space="preserve">   ）</w:t>
      </w:r>
    </w:p>
    <w:p>
      <w:pPr>
        <w:widowControl/>
        <w:ind w:left="315" w:leftChars="150" w:firstLine="90" w:firstLineChars="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18"/>
          <w:szCs w:val="18"/>
        </w:rPr>
        <w:t>4、</w:t>
      </w:r>
      <w:r>
        <w:rPr>
          <w:rFonts w:hint="eastAsia" w:ascii="宋体" w:hAnsi="宋体"/>
          <w:sz w:val="18"/>
          <w:szCs w:val="18"/>
        </w:rPr>
        <w:t xml:space="preserve">尺寸链中封闭环的基本尺寸，是其它各组成环基本尺寸的代数差。（  </w:t>
      </w:r>
      <w:r>
        <w:rPr>
          <w:rFonts w:hint="eastAsia" w:ascii="宋体" w:hAnsi="宋体"/>
          <w:b/>
          <w:bCs/>
          <w:sz w:val="18"/>
          <w:szCs w:val="18"/>
        </w:rPr>
        <w:t>×</w:t>
      </w:r>
      <w:r>
        <w:rPr>
          <w:rFonts w:hint="eastAsia" w:ascii="宋体" w:hAnsi="宋体"/>
          <w:sz w:val="18"/>
          <w:szCs w:val="18"/>
        </w:rPr>
        <w:t xml:space="preserve">  ）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 xml:space="preserve">5、平行度、对称度同属于形状公差。（  </w:t>
      </w:r>
      <w:r>
        <w:rPr>
          <w:rFonts w:hint="eastAsia" w:hAnsi="宋体"/>
          <w:b/>
          <w:bCs/>
          <w:sz w:val="18"/>
          <w:szCs w:val="18"/>
        </w:rPr>
        <w:t>×</w:t>
      </w:r>
      <w:r>
        <w:rPr>
          <w:rFonts w:hint="eastAsia" w:hAnsi="宋体" w:cs="Times New Roman"/>
          <w:sz w:val="18"/>
          <w:szCs w:val="18"/>
        </w:rPr>
        <w:t xml:space="preserve">  ）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 xml:space="preserve">6、轮廓加工完成时，应在刀具离开工件之前取消刀补。（   </w:t>
      </w:r>
      <w:r>
        <w:rPr>
          <w:rFonts w:hint="eastAsia" w:hAnsi="宋体"/>
          <w:b/>
          <w:bCs/>
          <w:sz w:val="18"/>
          <w:szCs w:val="18"/>
        </w:rPr>
        <w:t>×</w:t>
      </w:r>
      <w:r>
        <w:rPr>
          <w:rFonts w:hint="eastAsia" w:hAnsi="宋体" w:cs="Times New Roman"/>
          <w:sz w:val="18"/>
          <w:szCs w:val="18"/>
        </w:rPr>
        <w:t xml:space="preserve"> ）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 xml:space="preserve">7、立铣刀铣削平面轮廓时，铣刀应沿工件轮廓的切向切入，法向切出。（   </w:t>
      </w:r>
      <w:r>
        <w:rPr>
          <w:rFonts w:hint="eastAsia" w:hAnsi="宋体"/>
          <w:b/>
          <w:bCs/>
          <w:sz w:val="18"/>
          <w:szCs w:val="18"/>
        </w:rPr>
        <w:t>×</w:t>
      </w:r>
      <w:r>
        <w:rPr>
          <w:rFonts w:hint="eastAsia" w:hAnsi="宋体" w:cs="Times New Roman"/>
          <w:sz w:val="18"/>
          <w:szCs w:val="18"/>
        </w:rPr>
        <w:t xml:space="preserve"> ）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 xml:space="preserve">8、机床坐标系和工件坐标系之间的联系是通过回参考点来实现的。（  </w:t>
      </w:r>
      <w:r>
        <w:rPr>
          <w:rFonts w:hint="eastAsia" w:hAnsi="宋体"/>
          <w:b/>
          <w:bCs/>
          <w:sz w:val="18"/>
          <w:szCs w:val="18"/>
        </w:rPr>
        <w:t>×</w:t>
      </w:r>
      <w:r>
        <w:rPr>
          <w:rFonts w:hint="eastAsia" w:hAnsi="宋体" w:cs="Times New Roman"/>
          <w:sz w:val="18"/>
          <w:szCs w:val="18"/>
        </w:rPr>
        <w:t xml:space="preserve">  ）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9、设计基准和定位基准重合时，不存在基准不重合误差。（</w:t>
      </w:r>
      <w:r>
        <w:rPr>
          <w:rFonts w:hint="eastAsia" w:hAnsi="宋体"/>
          <w:b/>
          <w:bCs/>
          <w:sz w:val="18"/>
          <w:szCs w:val="18"/>
        </w:rPr>
        <w:t>√</w:t>
      </w:r>
      <w:r>
        <w:rPr>
          <w:rFonts w:hint="eastAsia" w:hAnsi="宋体" w:cs="Times New Roman"/>
          <w:sz w:val="18"/>
          <w:szCs w:val="18"/>
        </w:rPr>
        <w:t>）</w:t>
      </w:r>
    </w:p>
    <w:p>
      <w:pPr>
        <w:widowControl/>
        <w:ind w:left="315" w:leftChars="150" w:firstLine="90" w:firstLineChars="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10、一般情况下，减小进给量，可有效地减小表面粗糙度（</w:t>
      </w:r>
      <w:r>
        <w:rPr>
          <w:rFonts w:hint="eastAsia" w:ascii="宋体" w:hAnsi="宋体"/>
          <w:b/>
          <w:bCs/>
          <w:sz w:val="18"/>
          <w:szCs w:val="18"/>
        </w:rPr>
        <w:t>√</w:t>
      </w:r>
      <w:r>
        <w:rPr>
          <w:rFonts w:hint="eastAsia" w:ascii="宋体" w:hAnsi="宋体"/>
          <w:sz w:val="18"/>
          <w:szCs w:val="18"/>
        </w:rPr>
        <w:t xml:space="preserve">    ）。</w:t>
      </w:r>
    </w:p>
    <w:p>
      <w:pPr>
        <w:widowControl/>
        <w:ind w:left="315" w:leftChars="150" w:firstLine="90" w:firstLineChars="5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三、简答题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ËÎÌå"/>
          <w:color w:val="000000"/>
          <w:kern w:val="0"/>
          <w:sz w:val="18"/>
          <w:szCs w:val="18"/>
        </w:rPr>
        <w:t>1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、什么叫工序和工步？划分工序的原则是什么？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答：机械加工工艺过程中，一个或一组工人在一个工作地点，对一个或一组工件连续完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成的那部分工艺过程，称为工序。划分工序的依据是工作地是否发生变化和工作是否连续。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在不改变加工表面、切削刀具和切削用量的条件下所完成的那部分工位的内容称为工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步。划分工步的依据是加工表面和工具是否变化。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ËÎÌå"/>
          <w:color w:val="000000"/>
          <w:kern w:val="0"/>
          <w:sz w:val="18"/>
          <w:szCs w:val="18"/>
        </w:rPr>
        <w:t>2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、数控机床上加工的零件，一般按什么原则划分工序？如何划分？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答：在数控机床上加工的零件，一般按工序集中原则划分工序，划分方法：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①按所用刀具划分：以同一把刀具完成的那一部分工艺过程为一道工序。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②按安装次数划分：以一次安装完成的那一部分工艺过程为一道工序。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③按粗、精加工划分：粗加工为一道工序，精加工为一道工序。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④按加工部位划分：以完成相同型面的那一部分工艺过程为一道工序。</w:t>
      </w:r>
    </w:p>
    <w:p>
      <w:pPr>
        <w:pStyle w:val="2"/>
        <w:widowControl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3.划分加工阶段的目的是什么？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pStyle w:val="2"/>
        <w:widowControl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2590800" cy="1571625"/>
            <wp:effectExtent l="0" t="0" r="0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4什么是对刀点？对刀点位置确定的原则有哪些？</w:t>
      </w:r>
    </w:p>
    <w:p>
      <w:pPr>
        <w:pStyle w:val="2"/>
        <w:widowControl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6381750" cy="1000125"/>
            <wp:effectExtent l="0" t="0" r="0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5943600" cy="781050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3514725" cy="1428750"/>
            <wp:effectExtent l="0" t="0" r="952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4238625" cy="1704975"/>
            <wp:effectExtent l="0" t="0" r="9525" b="9525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7、何谓加工精度？包括哪些三个方面？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答：加工精度是指零件加工后的实际几何参数（尺寸、几何形状和相互位置）与理想几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何参数相符合的程度，包括三个方面：</w:t>
      </w:r>
    </w:p>
    <w:p>
      <w:pPr>
        <w:pStyle w:val="2"/>
        <w:widowControl/>
        <w:rPr>
          <w:rFonts w:hint="eastAsia" w:hAnsi="宋体" w:cs="宋体"/>
          <w:color w:val="000000"/>
          <w:kern w:val="0"/>
          <w:sz w:val="18"/>
          <w:szCs w:val="18"/>
        </w:rPr>
      </w:pPr>
      <w:r>
        <w:rPr>
          <w:rFonts w:hint="eastAsia" w:hAnsi="宋体" w:cs="宋体"/>
          <w:color w:val="000000"/>
          <w:kern w:val="0"/>
          <w:sz w:val="18"/>
          <w:szCs w:val="18"/>
        </w:rPr>
        <w:t>①尺寸精度；②几何形状精度；③相互位置精度。</w:t>
      </w:r>
    </w:p>
    <w:p>
      <w:pPr>
        <w:pStyle w:val="2"/>
        <w:widowControl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8、何谓表面质量，包括哪些方面？</w:t>
      </w:r>
    </w:p>
    <w:p>
      <w:pPr>
        <w:pStyle w:val="2"/>
        <w:widowControl/>
        <w:rPr>
          <w:sz w:val="18"/>
          <w:szCs w:val="18"/>
        </w:rPr>
      </w:pPr>
    </w:p>
    <w:p>
      <w:pPr>
        <w:pStyle w:val="2"/>
        <w:widowControl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6267450" cy="2047875"/>
            <wp:effectExtent l="0" t="0" r="0" b="952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9从工艺因素考虑，产生加工误差的原因有哪些？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6410325" cy="781050"/>
            <wp:effectExtent l="0" t="0" r="952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>11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、11.影响表面粗糙度的因素有哪些？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答：影响表面粗糙度的因素主要有工件材料、切削用量、刀具几何参数及切削液等。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四、计算题：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ËÎÌå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图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 xml:space="preserve">1 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drawing>
          <wp:inline distT="0" distB="0" distL="114300" distR="114300">
            <wp:extent cx="4600575" cy="1409700"/>
            <wp:effectExtent l="0" t="0" r="9525" b="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所示为轴类零件图，其内孔和外圆和各端面均已加工好，试分别计算图示三种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定位方案加工时的工序尺寸及其偏差。</w:t>
      </w:r>
    </w:p>
    <w:p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324475" cy="5048250"/>
            <wp:effectExtent l="0" t="0" r="9525" b="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</w:p>
    <w:p>
      <w:pPr>
        <w:widowControl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6、图2所示零件，</w:t>
      </w:r>
      <w:r>
        <w:rPr>
          <w:rFonts w:hint="eastAsia" w:ascii="宋体" w:hAnsi="宋体"/>
          <w:position w:val="-12"/>
          <w:sz w:val="18"/>
          <w:szCs w:val="18"/>
        </w:rPr>
        <w:object>
          <v:shape id="_x0000_i1034" o:spt="75" type="#_x0000_t75" style="height:19pt;width:77pt;" o:ole="t" filled="f" stroked="f" coordsize="21600,21600">
            <v:path/>
            <v:fill on="f" focussize="0,0"/>
            <v:stroke on="f"/>
            <v:imagedata r:id="rId14" o:title=""/>
            <o:lock v:ext="edit" grouping="f" rotation="f" text="f" aspectratio="t"/>
            <w10:wrap type="none"/>
            <w10:anchorlock/>
          </v:shape>
          <o:OLEObject Type="Embed" ProgID="Equation.3" ShapeID="_x0000_i1034" DrawAspect="Content" ObjectID="_1468075725" r:id="rId13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 w:ascii="宋体" w:hAnsi="宋体"/>
          <w:position w:val="-12"/>
          <w:sz w:val="18"/>
          <w:szCs w:val="18"/>
        </w:rPr>
        <w:object>
          <v:shape id="_x0000_i1035" o:spt="75" type="#_x0000_t75" style="height:19pt;width:78pt;" o:ole="t" filled="f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Equation.3" ShapeID="_x0000_i1035" DrawAspect="Content" ObjectID="_1468075726" r:id="rId15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 w:ascii="宋体" w:hAnsi="宋体"/>
          <w:position w:val="-12"/>
          <w:sz w:val="18"/>
          <w:szCs w:val="18"/>
        </w:rPr>
        <w:object>
          <v:shape id="_x0000_i1036" o:spt="75" type="#_x0000_t75" style="height:19pt;width:77pt;" o:ole="t" filled="f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Equation.3" ShapeID="_x0000_i1036" DrawAspect="Content" ObjectID="_1468075727" r:id="rId17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。因A</w:t>
      </w:r>
      <w:r>
        <w:rPr>
          <w:rFonts w:hint="eastAsia" w:ascii="宋体" w:hAnsi="宋体"/>
          <w:sz w:val="18"/>
          <w:szCs w:val="18"/>
          <w:vertAlign w:val="subscript"/>
        </w:rPr>
        <w:t>3</w:t>
      </w:r>
      <w:r>
        <w:rPr>
          <w:rFonts w:hint="eastAsia" w:ascii="宋体" w:hAnsi="宋体"/>
          <w:sz w:val="18"/>
          <w:szCs w:val="18"/>
        </w:rPr>
        <w:t>不便测量，试重新标出测量尺寸A</w:t>
      </w:r>
      <w:r>
        <w:rPr>
          <w:rFonts w:hint="eastAsia" w:ascii="宋体" w:hAnsi="宋体"/>
          <w:sz w:val="18"/>
          <w:szCs w:val="18"/>
          <w:vertAlign w:val="subscript"/>
        </w:rPr>
        <w:t>4</w:t>
      </w:r>
      <w:r>
        <w:rPr>
          <w:rFonts w:hint="eastAsia" w:ascii="宋体" w:hAnsi="宋体"/>
          <w:sz w:val="18"/>
          <w:szCs w:val="18"/>
        </w:rPr>
        <w:t>及其公差。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ËÎÌå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答：根据题意可知，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1894205" cy="1828800"/>
            <wp:effectExtent l="0" t="0" r="10795" b="0"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>图2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3390900" cy="1504950"/>
            <wp:effectExtent l="0" t="0" r="0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>
      <w:pPr>
        <w:widowControl/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4486275" cy="1933575"/>
            <wp:effectExtent l="0" t="0" r="9525" b="9525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3543300" cy="495300"/>
            <wp:effectExtent l="0" t="0" r="0" b="0"/>
            <wp:docPr id="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3、图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 xml:space="preserve">3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所示零件，镗孔前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>A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>B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、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 xml:space="preserve">C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面已经加工好。镗孔时，为便于装夹，选择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 xml:space="preserve">A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面为定位基准，并按工序尺寸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 xml:space="preserve">L4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进行加工。已知</w:t>
      </w:r>
      <w:r>
        <w:rPr>
          <w:rFonts w:eastAsia="楷体_GB2312"/>
          <w:position w:val="-12"/>
          <w:sz w:val="18"/>
          <w:szCs w:val="18"/>
        </w:rPr>
        <w:object>
          <v:shape id="_x0000_i1041" o:spt="75" type="#_x0000_t75" style="height:19pt;width:78pt;" o:ole="t" filled="f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  <w10:wrap type="none"/>
            <w10:anchorlock/>
          </v:shape>
          <o:OLEObject Type="Embed" ProgID="Equation.3" ShapeID="_x0000_i1041" DrawAspect="Content" ObjectID="_1468075728" r:id="rId23">
            <o:LockedField>false</o:LockedField>
          </o:OLEObject>
        </w:object>
      </w:r>
      <w:r>
        <w:rPr>
          <w:rFonts w:eastAsia="楷体_GB2312"/>
          <w:sz w:val="18"/>
          <w:szCs w:val="18"/>
        </w:rPr>
        <w:t>，</w:t>
      </w:r>
      <w:r>
        <w:rPr>
          <w:rFonts w:eastAsia="楷体_GB2312"/>
          <w:position w:val="-12"/>
          <w:sz w:val="18"/>
          <w:szCs w:val="18"/>
        </w:rPr>
        <w:object>
          <v:shape id="_x0000_i1042" o:spt="75" type="#_x0000_t75" style="height:19pt;width:77pt;" o:ole="t" filled="f" stroked="f" coordsize="21600,21600">
            <v:path/>
            <v:fill on="f" focussize="0,0"/>
            <v:stroke on="f"/>
            <v:imagedata r:id="rId26" o:title=""/>
            <o:lock v:ext="edit" grouping="f" rotation="f" text="f" aspectratio="t"/>
            <w10:wrap type="none"/>
            <w10:anchorlock/>
          </v:shape>
          <o:OLEObject Type="Embed" ProgID="Equation.3" ShapeID="_x0000_i1042" DrawAspect="Content" ObjectID="_1468075729" r:id="rId25">
            <o:LockedField>false</o:LockedField>
          </o:OLEObject>
        </w:object>
      </w:r>
      <w:r>
        <w:rPr>
          <w:rFonts w:eastAsia="楷体_GB2312"/>
          <w:sz w:val="18"/>
          <w:szCs w:val="18"/>
        </w:rPr>
        <w:t>，</w:t>
      </w:r>
      <w:r>
        <w:rPr>
          <w:rFonts w:eastAsia="楷体_GB2312"/>
          <w:position w:val="-12"/>
          <w:sz w:val="18"/>
          <w:szCs w:val="18"/>
        </w:rPr>
        <w:object>
          <v:shape id="_x0000_i1043" o:spt="75" type="#_x0000_t75" style="height:18pt;width:95pt;" o:ole="t" filled="f" stroked="f" coordsize="21600,21600">
            <v:path/>
            <v:fill on="f" focussize="0,0"/>
            <v:stroke on="f"/>
            <v:imagedata r:id="rId28" o:title=""/>
            <o:lock v:ext="edit" grouping="f" rotation="f" text="f" aspectratio="t"/>
            <w10:wrap type="none"/>
            <w10:anchorlock/>
          </v:shape>
          <o:OLEObject Type="Embed" ProgID="Equation.3" ShapeID="_x0000_i1043" DrawAspect="Content" ObjectID="_1468075730" r:id="rId27">
            <o:LockedField>false</o:LockedField>
          </o:OLEObject>
        </w:object>
      </w:r>
      <w:r>
        <w:rPr>
          <w:rFonts w:eastAsia="楷体_GB2312"/>
          <w:sz w:val="18"/>
          <w:szCs w:val="18"/>
        </w:rPr>
        <w:t>。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试计算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>L4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的尺寸及其偏差。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宋体" w:hAnsi="宋体" w:cs="ËÎÌå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图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t>3</w:t>
      </w:r>
      <w:r>
        <w:rPr>
          <w:rFonts w:hint="eastAsia" w:ascii="宋体" w:hAnsi="宋体" w:cs="ËÎÌå"/>
          <w:color w:val="000000"/>
          <w:kern w:val="0"/>
          <w:sz w:val="18"/>
          <w:szCs w:val="18"/>
        </w:rPr>
        <w:drawing>
          <wp:inline distT="0" distB="0" distL="114300" distR="114300">
            <wp:extent cx="3000375" cy="2009775"/>
            <wp:effectExtent l="0" t="0" r="9525" b="9525"/>
            <wp:docPr id="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drawing>
          <wp:inline distT="0" distB="0" distL="114300" distR="114300">
            <wp:extent cx="1476375" cy="1247775"/>
            <wp:effectExtent l="0" t="0" r="9525" b="9525"/>
            <wp:docPr id="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sz w:val="18"/>
          <w:szCs w:val="18"/>
        </w:rPr>
        <w:drawing>
          <wp:inline distT="0" distB="0" distL="114300" distR="114300">
            <wp:extent cx="4238625" cy="1628775"/>
            <wp:effectExtent l="0" t="0" r="9525" b="9525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drawing>
          <wp:inline distT="0" distB="0" distL="114300" distR="114300">
            <wp:extent cx="4600575" cy="4371975"/>
            <wp:effectExtent l="0" t="0" r="9525" b="9525"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C0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emf"/><Relationship Id="rId3" Type="http://schemas.openxmlformats.org/officeDocument/2006/relationships/theme" Target="theme/theme1.xml"/><Relationship Id="rId29" Type="http://schemas.openxmlformats.org/officeDocument/2006/relationships/image" Target="media/image20.emf"/><Relationship Id="rId28" Type="http://schemas.openxmlformats.org/officeDocument/2006/relationships/image" Target="media/image19.wmf"/><Relationship Id="rId27" Type="http://schemas.openxmlformats.org/officeDocument/2006/relationships/oleObject" Target="embeddings/oleObject6.bin"/><Relationship Id="rId26" Type="http://schemas.openxmlformats.org/officeDocument/2006/relationships/image" Target="media/image18.wmf"/><Relationship Id="rId25" Type="http://schemas.openxmlformats.org/officeDocument/2006/relationships/oleObject" Target="embeddings/oleObject5.bin"/><Relationship Id="rId24" Type="http://schemas.openxmlformats.org/officeDocument/2006/relationships/image" Target="media/image17.wmf"/><Relationship Id="rId23" Type="http://schemas.openxmlformats.org/officeDocument/2006/relationships/oleObject" Target="embeddings/oleObject4.bin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emf"/><Relationship Id="rId18" Type="http://schemas.openxmlformats.org/officeDocument/2006/relationships/image" Target="media/image12.wmf"/><Relationship Id="rId17" Type="http://schemas.openxmlformats.org/officeDocument/2006/relationships/oleObject" Target="embeddings/oleObject3.bin"/><Relationship Id="rId16" Type="http://schemas.openxmlformats.org/officeDocument/2006/relationships/image" Target="media/image11.wmf"/><Relationship Id="rId15" Type="http://schemas.openxmlformats.org/officeDocument/2006/relationships/oleObject" Target="embeddings/oleObject2.bin"/><Relationship Id="rId14" Type="http://schemas.openxmlformats.org/officeDocument/2006/relationships/image" Target="media/image10.wmf"/><Relationship Id="rId13" Type="http://schemas.openxmlformats.org/officeDocument/2006/relationships/oleObject" Target="embeddings/oleObject1.bin"/><Relationship Id="rId12" Type="http://schemas.openxmlformats.org/officeDocument/2006/relationships/image" Target="media/image9.png"/><Relationship Id="rId11" Type="http://schemas.openxmlformats.org/officeDocument/2006/relationships/image" Target="media/image8.em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黄爽</cp:lastModifiedBy>
  <dcterms:modified xsi:type="dcterms:W3CDTF">2018-11-22T03:04:46Z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