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C2" w:rsidRDefault="00AC40C2" w:rsidP="00AC40C2">
      <w:pPr>
        <w:rPr>
          <w:rFonts w:ascii="华文中宋" w:eastAsia="华文中宋" w:hAnsi="华文中宋"/>
          <w:color w:val="FF0000"/>
          <w:w w:val="66"/>
          <w:szCs w:val="21"/>
        </w:rPr>
      </w:pPr>
    </w:p>
    <w:p w:rsidR="00AC40C2" w:rsidRDefault="00AC40C2" w:rsidP="00AC40C2">
      <w:pPr>
        <w:rPr>
          <w:rFonts w:ascii="华文中宋" w:eastAsia="华文中宋" w:hAnsi="华文中宋"/>
          <w:color w:val="FF0000"/>
          <w:w w:val="66"/>
          <w:szCs w:val="21"/>
        </w:rPr>
      </w:pPr>
    </w:p>
    <w:p w:rsidR="00AC40C2" w:rsidRDefault="00AC40C2" w:rsidP="00AC40C2">
      <w:pPr>
        <w:rPr>
          <w:rFonts w:ascii="华文中宋" w:eastAsia="华文中宋" w:hAnsi="华文中宋"/>
          <w:color w:val="FF0000"/>
          <w:w w:val="66"/>
          <w:szCs w:val="21"/>
        </w:rPr>
      </w:pPr>
    </w:p>
    <w:p w:rsidR="00AC40C2" w:rsidRPr="00337B52" w:rsidRDefault="00AC40C2" w:rsidP="00AC40C2">
      <w:pPr>
        <w:rPr>
          <w:rFonts w:ascii="华文中宋" w:eastAsia="华文中宋" w:hAnsi="华文中宋"/>
          <w:color w:val="FF0000"/>
          <w:w w:val="66"/>
          <w:szCs w:val="21"/>
        </w:rPr>
      </w:pPr>
    </w:p>
    <w:p w:rsidR="00AC40C2" w:rsidRPr="00E264C5" w:rsidRDefault="00AC40C2" w:rsidP="00AC40C2">
      <w:pPr>
        <w:jc w:val="center"/>
        <w:rPr>
          <w:rFonts w:ascii="方正小标宋简体" w:eastAsia="方正小标宋简体" w:hAnsi="华文中宋"/>
          <w:color w:val="FF0000"/>
          <w:w w:val="66"/>
          <w:sz w:val="84"/>
          <w:szCs w:val="84"/>
        </w:rPr>
      </w:pPr>
      <w:r w:rsidRPr="00E264C5">
        <w:rPr>
          <w:rFonts w:ascii="方正小标宋简体" w:eastAsia="方正小标宋简体" w:hAnsi="华文中宋" w:hint="eastAsia"/>
          <w:color w:val="FF0000"/>
          <w:w w:val="66"/>
          <w:sz w:val="84"/>
          <w:szCs w:val="84"/>
        </w:rPr>
        <w:t>浙江广播电视大学校长办公室文件</w:t>
      </w:r>
    </w:p>
    <w:p w:rsidR="00AC40C2" w:rsidRPr="00337B52" w:rsidRDefault="00AC40C2" w:rsidP="00AC40C2">
      <w:pPr>
        <w:rPr>
          <w:rFonts w:ascii="华文中宋" w:eastAsia="华文中宋" w:hAnsi="华文中宋"/>
          <w:color w:val="FF0000"/>
          <w:w w:val="66"/>
          <w:sz w:val="28"/>
          <w:szCs w:val="28"/>
        </w:rPr>
      </w:pPr>
    </w:p>
    <w:p w:rsidR="00AC40C2" w:rsidRPr="00DD08DE" w:rsidRDefault="00AC40C2" w:rsidP="00AC40C2">
      <w:pPr>
        <w:jc w:val="center"/>
        <w:rPr>
          <w:rFonts w:ascii="仿宋_GB2312" w:eastAsia="仿宋_GB2312" w:hAnsi="华文中宋"/>
          <w:sz w:val="32"/>
          <w:szCs w:val="32"/>
        </w:rPr>
      </w:pPr>
      <w:r>
        <w:rPr>
          <w:rFonts w:ascii="仿宋_GB2312" w:eastAsia="仿宋_GB2312" w:hAnsi="华文中宋" w:hint="eastAsia"/>
          <w:sz w:val="32"/>
          <w:szCs w:val="32"/>
        </w:rPr>
        <w:t xml:space="preserve"> </w:t>
      </w:r>
      <w:bookmarkStart w:id="0" w:name="文号"/>
      <w:r>
        <w:rPr>
          <w:rFonts w:ascii="仿宋_GB2312" w:eastAsia="仿宋_GB2312" w:hAnsi="华文中宋" w:hint="eastAsia"/>
          <w:sz w:val="32"/>
          <w:szCs w:val="32"/>
        </w:rPr>
        <w:t>浙电大办〔</w:t>
      </w:r>
      <w:r>
        <w:rPr>
          <w:rFonts w:ascii="仿宋_GB2312" w:eastAsia="仿宋_GB2312" w:hAnsi="华文中宋"/>
          <w:sz w:val="32"/>
          <w:szCs w:val="32"/>
        </w:rPr>
        <w:t>2018〕1</w:t>
      </w:r>
      <w:r>
        <w:rPr>
          <w:rFonts w:ascii="仿宋_GB2312" w:eastAsia="仿宋_GB2312" w:hAnsi="华文中宋" w:hint="eastAsia"/>
          <w:sz w:val="32"/>
          <w:szCs w:val="32"/>
        </w:rPr>
        <w:t>4</w:t>
      </w:r>
      <w:r>
        <w:rPr>
          <w:rFonts w:ascii="仿宋_GB2312" w:eastAsia="仿宋_GB2312" w:hAnsi="华文中宋"/>
          <w:sz w:val="32"/>
          <w:szCs w:val="32"/>
        </w:rPr>
        <w:t>号</w:t>
      </w:r>
      <w:bookmarkEnd w:id="0"/>
    </w:p>
    <w:p w:rsidR="00AC40C2" w:rsidRPr="007D4DA8" w:rsidRDefault="000E548B" w:rsidP="00AC40C2">
      <w:pPr>
        <w:rPr>
          <w:rFonts w:ascii="华文中宋" w:eastAsia="华文中宋" w:hAnsi="华文中宋"/>
          <w:color w:val="FF0000"/>
          <w:w w:val="66"/>
          <w:sz w:val="30"/>
          <w:szCs w:val="30"/>
        </w:rPr>
      </w:pPr>
      <w:r w:rsidRPr="000E548B">
        <w:rPr>
          <w:rFonts w:ascii="仿宋_GB2312" w:eastAsia="仿宋_GB2312" w:hAnsi="华文中宋"/>
          <w:noProof/>
          <w:sz w:val="30"/>
          <w:szCs w:val="30"/>
        </w:rPr>
        <w:pict>
          <v:line id="_x0000_s2050" style="position:absolute;left:0;text-align:left;z-index:251660288" from=".7pt,7.85pt" to="451.4pt,7.85pt" strokecolor="red" strokeweight="1.5pt"/>
        </w:pict>
      </w:r>
    </w:p>
    <w:p w:rsidR="00EE334C" w:rsidRPr="008F5205" w:rsidRDefault="00EE334C" w:rsidP="00EE334C">
      <w:pPr>
        <w:adjustRightInd w:val="0"/>
        <w:snapToGrid w:val="0"/>
        <w:spacing w:line="600" w:lineRule="atLeast"/>
        <w:jc w:val="center"/>
        <w:rPr>
          <w:rFonts w:ascii="方正小标宋简体" w:eastAsia="方正小标宋简体" w:hAnsiTheme="majorEastAsia" w:cs="方正小标宋_GBK"/>
          <w:sz w:val="44"/>
          <w:szCs w:val="44"/>
        </w:rPr>
      </w:pPr>
      <w:r w:rsidRPr="0067693C">
        <w:rPr>
          <w:rFonts w:ascii="方正小标宋简体" w:eastAsia="方正小标宋简体" w:hAnsiTheme="majorEastAsia" w:cs="方正小标宋_GBK" w:hint="eastAsia"/>
          <w:sz w:val="44"/>
          <w:szCs w:val="44"/>
        </w:rPr>
        <w:t>关于印发</w:t>
      </w:r>
      <w:r w:rsidRPr="0067693C">
        <w:rPr>
          <w:rFonts w:ascii="方正小标宋简体" w:eastAsia="方正小标宋简体" w:hAnsiTheme="majorEastAsia" w:cs="方正小标宋_GBK"/>
          <w:sz w:val="44"/>
          <w:szCs w:val="44"/>
        </w:rPr>
        <w:t>2018</w:t>
      </w:r>
      <w:r w:rsidRPr="0067693C">
        <w:rPr>
          <w:rFonts w:ascii="方正小标宋简体" w:eastAsia="方正小标宋简体" w:hAnsiTheme="majorEastAsia" w:cs="方正小标宋_GBK" w:hint="eastAsia"/>
          <w:sz w:val="44"/>
          <w:szCs w:val="44"/>
        </w:rPr>
        <w:t>级成人高等教育</w:t>
      </w:r>
    </w:p>
    <w:p w:rsidR="00EE334C" w:rsidRDefault="00EE334C" w:rsidP="00EE334C">
      <w:pPr>
        <w:adjustRightInd w:val="0"/>
        <w:snapToGrid w:val="0"/>
        <w:spacing w:line="600" w:lineRule="atLeast"/>
        <w:jc w:val="center"/>
        <w:rPr>
          <w:rFonts w:ascii="方正小标宋简体" w:eastAsia="方正小标宋简体" w:hAnsiTheme="majorEastAsia" w:cs="方正小标宋_GBK"/>
          <w:sz w:val="44"/>
          <w:szCs w:val="44"/>
        </w:rPr>
      </w:pPr>
      <w:r w:rsidRPr="0067693C">
        <w:rPr>
          <w:rFonts w:ascii="方正小标宋简体" w:eastAsia="方正小标宋简体" w:hAnsiTheme="majorEastAsia" w:cs="方正小标宋_GBK" w:hint="eastAsia"/>
          <w:sz w:val="44"/>
          <w:szCs w:val="44"/>
        </w:rPr>
        <w:t>专业培养方案的通知</w:t>
      </w:r>
    </w:p>
    <w:p w:rsidR="00EE334C" w:rsidRPr="008F5205" w:rsidRDefault="00EE334C" w:rsidP="00EE334C">
      <w:pPr>
        <w:adjustRightInd w:val="0"/>
        <w:snapToGrid w:val="0"/>
        <w:spacing w:line="600" w:lineRule="atLeast"/>
        <w:jc w:val="center"/>
        <w:rPr>
          <w:rFonts w:ascii="方正小标宋简体" w:eastAsia="方正小标宋简体" w:hAnsiTheme="majorEastAsia" w:cs="方正小标宋_GBK"/>
          <w:sz w:val="44"/>
          <w:szCs w:val="44"/>
        </w:rPr>
      </w:pPr>
    </w:p>
    <w:p w:rsidR="00EE334C" w:rsidRPr="0067693C" w:rsidRDefault="00EE334C" w:rsidP="00EE334C">
      <w:pPr>
        <w:adjustRightInd w:val="0"/>
        <w:snapToGrid w:val="0"/>
        <w:spacing w:before="312" w:line="600" w:lineRule="atLeast"/>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各成人高等教育办学单位：</w:t>
      </w:r>
    </w:p>
    <w:p w:rsidR="00EE334C" w:rsidRPr="0067693C" w:rsidRDefault="00EE334C" w:rsidP="00EE334C">
      <w:pPr>
        <w:adjustRightInd w:val="0"/>
        <w:snapToGrid w:val="0"/>
        <w:spacing w:line="600" w:lineRule="atLeast"/>
        <w:ind w:firstLineChars="200" w:firstLine="640"/>
        <w:rPr>
          <w:rFonts w:ascii="仿宋_GB2312" w:eastAsia="仿宋_GB2312" w:hAnsiTheme="minorEastAsia" w:cs="仿宋_GB2312"/>
          <w:kern w:val="0"/>
          <w:sz w:val="32"/>
          <w:szCs w:val="32"/>
        </w:rPr>
      </w:pPr>
      <w:r w:rsidRPr="0067693C">
        <w:rPr>
          <w:rFonts w:ascii="仿宋_GB2312" w:eastAsia="仿宋_GB2312" w:hAnsiTheme="minorEastAsia" w:cs="仿宋_GB2312" w:hint="eastAsia"/>
          <w:sz w:val="32"/>
          <w:szCs w:val="32"/>
        </w:rPr>
        <w:t>现将《浙江广播电视大学</w:t>
      </w:r>
      <w:r w:rsidRPr="0067693C">
        <w:rPr>
          <w:rFonts w:ascii="仿宋_GB2312" w:eastAsia="仿宋_GB2312" w:hAnsiTheme="minorEastAsia" w:cs="仿宋_GB2312"/>
          <w:sz w:val="32"/>
          <w:szCs w:val="32"/>
        </w:rPr>
        <w:t>2018</w:t>
      </w:r>
      <w:r w:rsidRPr="0067693C">
        <w:rPr>
          <w:rFonts w:ascii="仿宋_GB2312" w:eastAsia="仿宋_GB2312" w:hAnsiTheme="minorEastAsia" w:cs="仿宋_GB2312" w:hint="eastAsia"/>
          <w:sz w:val="32"/>
          <w:szCs w:val="32"/>
        </w:rPr>
        <w:t>级成人高等教育专业培养方案》印发给你们，并</w:t>
      </w:r>
      <w:r w:rsidRPr="0067693C">
        <w:rPr>
          <w:rFonts w:ascii="仿宋_GB2312" w:eastAsia="仿宋_GB2312" w:hAnsiTheme="minorEastAsia" w:cs="仿宋_GB2312" w:hint="eastAsia"/>
          <w:kern w:val="0"/>
          <w:sz w:val="32"/>
          <w:szCs w:val="32"/>
        </w:rPr>
        <w:t>就有关问题说明如下，请遵照执行。</w:t>
      </w:r>
    </w:p>
    <w:p w:rsidR="00EE334C" w:rsidRPr="0067693C" w:rsidRDefault="00EE334C" w:rsidP="00EE334C">
      <w:pPr>
        <w:adjustRightInd w:val="0"/>
        <w:snapToGrid w:val="0"/>
        <w:spacing w:line="600" w:lineRule="atLeast"/>
        <w:ind w:firstLineChars="200" w:firstLine="640"/>
        <w:outlineLvl w:val="0"/>
        <w:rPr>
          <w:rFonts w:ascii="黑体" w:eastAsia="黑体" w:hAnsiTheme="minorEastAsia" w:cs="黑体"/>
          <w:sz w:val="32"/>
          <w:szCs w:val="32"/>
        </w:rPr>
      </w:pPr>
      <w:r w:rsidRPr="0067693C">
        <w:rPr>
          <w:rFonts w:ascii="黑体" w:eastAsia="黑体" w:hAnsiTheme="minorEastAsia" w:cs="黑体" w:hint="eastAsia"/>
          <w:sz w:val="32"/>
          <w:szCs w:val="32"/>
        </w:rPr>
        <w:t>一、专业设置</w:t>
      </w:r>
    </w:p>
    <w:p w:rsidR="00EE334C" w:rsidRPr="0067693C" w:rsidRDefault="00EE334C" w:rsidP="00EE334C">
      <w:pPr>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2018</w:t>
      </w:r>
      <w:r w:rsidRPr="0067693C">
        <w:rPr>
          <w:rFonts w:ascii="仿宋_GB2312" w:eastAsia="仿宋_GB2312" w:hAnsiTheme="minorEastAsia" w:cs="仿宋_GB2312" w:hint="eastAsia"/>
          <w:sz w:val="32"/>
          <w:szCs w:val="32"/>
        </w:rPr>
        <w:t>级成人高等教育开设</w:t>
      </w:r>
      <w:r w:rsidRPr="0067693C">
        <w:rPr>
          <w:rFonts w:ascii="仿宋_GB2312" w:eastAsia="仿宋_GB2312" w:hAnsiTheme="minorEastAsia" w:cs="仿宋_GB2312"/>
          <w:sz w:val="32"/>
          <w:szCs w:val="32"/>
        </w:rPr>
        <w:t>26</w:t>
      </w:r>
      <w:r w:rsidRPr="0067693C">
        <w:rPr>
          <w:rFonts w:ascii="仿宋_GB2312" w:eastAsia="仿宋_GB2312" w:hAnsiTheme="minorEastAsia" w:cs="仿宋_GB2312" w:hint="eastAsia"/>
          <w:sz w:val="32"/>
          <w:szCs w:val="32"/>
        </w:rPr>
        <w:t>个专业（详见附件</w:t>
      </w:r>
      <w:r w:rsidRPr="0067693C">
        <w:rPr>
          <w:rFonts w:ascii="仿宋_GB2312" w:eastAsia="仿宋_GB2312" w:hAnsiTheme="minorEastAsia" w:cs="仿宋_GB2312"/>
          <w:sz w:val="32"/>
          <w:szCs w:val="32"/>
        </w:rPr>
        <w:t>1），其中本科开设3大类4个类别4</w:t>
      </w:r>
      <w:r w:rsidRPr="0067693C">
        <w:rPr>
          <w:rFonts w:ascii="仿宋_GB2312" w:eastAsia="仿宋_GB2312" w:hAnsiTheme="minorEastAsia" w:cs="仿宋_GB2312" w:hint="eastAsia"/>
          <w:sz w:val="32"/>
          <w:szCs w:val="32"/>
        </w:rPr>
        <w:t>个专业，专科开设</w:t>
      </w:r>
      <w:r w:rsidRPr="0067693C">
        <w:rPr>
          <w:rFonts w:ascii="仿宋_GB2312" w:eastAsia="仿宋_GB2312" w:hAnsiTheme="minorEastAsia" w:cs="仿宋_GB2312"/>
          <w:sz w:val="32"/>
          <w:szCs w:val="32"/>
        </w:rPr>
        <w:t>9</w:t>
      </w:r>
      <w:r w:rsidRPr="0067693C">
        <w:rPr>
          <w:rFonts w:ascii="仿宋_GB2312" w:eastAsia="仿宋_GB2312" w:hAnsiTheme="minorEastAsia" w:cs="仿宋_GB2312" w:hint="eastAsia"/>
          <w:sz w:val="32"/>
          <w:szCs w:val="32"/>
        </w:rPr>
        <w:t>大类</w:t>
      </w:r>
      <w:r w:rsidRPr="0067693C">
        <w:rPr>
          <w:rFonts w:ascii="仿宋_GB2312" w:eastAsia="仿宋_GB2312" w:hAnsiTheme="minorEastAsia" w:cs="仿宋_GB2312"/>
          <w:sz w:val="32"/>
          <w:szCs w:val="32"/>
        </w:rPr>
        <w:t>17</w:t>
      </w:r>
      <w:r w:rsidRPr="0067693C">
        <w:rPr>
          <w:rFonts w:ascii="仿宋_GB2312" w:eastAsia="仿宋_GB2312" w:hAnsiTheme="minorEastAsia" w:cs="仿宋_GB2312" w:hint="eastAsia"/>
          <w:sz w:val="32"/>
          <w:szCs w:val="32"/>
        </w:rPr>
        <w:t>个类别</w:t>
      </w:r>
      <w:r w:rsidRPr="0067693C">
        <w:rPr>
          <w:rFonts w:ascii="仿宋_GB2312" w:eastAsia="仿宋_GB2312" w:hAnsiTheme="minorEastAsia" w:cs="仿宋_GB2312"/>
          <w:sz w:val="32"/>
          <w:szCs w:val="32"/>
        </w:rPr>
        <w:t>22</w:t>
      </w:r>
      <w:r w:rsidRPr="0067693C">
        <w:rPr>
          <w:rFonts w:ascii="仿宋_GB2312" w:eastAsia="仿宋_GB2312" w:hAnsiTheme="minorEastAsia" w:cs="仿宋_GB2312" w:hint="eastAsia"/>
          <w:sz w:val="32"/>
          <w:szCs w:val="32"/>
        </w:rPr>
        <w:t>个专业。</w:t>
      </w:r>
    </w:p>
    <w:p w:rsidR="00EE334C" w:rsidRPr="0067693C" w:rsidRDefault="00EE334C" w:rsidP="00EE334C">
      <w:pPr>
        <w:adjustRightInd w:val="0"/>
        <w:snapToGrid w:val="0"/>
        <w:spacing w:line="600" w:lineRule="atLeast"/>
        <w:ind w:firstLineChars="200" w:firstLine="640"/>
        <w:outlineLvl w:val="0"/>
        <w:rPr>
          <w:rFonts w:ascii="黑体" w:eastAsia="黑体" w:hAnsiTheme="minorEastAsia" w:cs="黑体"/>
          <w:sz w:val="32"/>
          <w:szCs w:val="32"/>
        </w:rPr>
      </w:pPr>
      <w:r w:rsidRPr="0067693C">
        <w:rPr>
          <w:rFonts w:ascii="黑体" w:eastAsia="黑体" w:hAnsiTheme="minorEastAsia" w:cs="黑体" w:hint="eastAsia"/>
          <w:sz w:val="32"/>
          <w:szCs w:val="32"/>
        </w:rPr>
        <w:t>二、课程及模块设置</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成人高等教育各专业培养方案按模块化设置课程。成人高等教育本科每个专业统一设置公共基础课、职业基础课、职业技能课、职业延展课、自开课程和综合实践等模块。成人高等教育专</w:t>
      </w:r>
      <w:r w:rsidRPr="0067693C">
        <w:rPr>
          <w:rFonts w:ascii="仿宋_GB2312" w:eastAsia="仿宋_GB2312" w:hAnsiTheme="minorEastAsia" w:cs="仿宋_GB2312" w:hint="eastAsia"/>
          <w:sz w:val="32"/>
          <w:szCs w:val="32"/>
        </w:rPr>
        <w:lastRenderedPageBreak/>
        <w:t>科每个专业统一设置公共基础课、职业基础课、职业技能课、职业延展课、综合实践等模块。学生按培养方案要求修满各模块最低毕业学分且所修总学分达到毕业学分要求，则表明学生已满足了毕业学分要求。各模块课程分为以下种类：</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（一）必修课：每个学生必须修完的专业培养方案中规定的必修课程，必修课不及格者不能毕业。</w:t>
      </w:r>
    </w:p>
    <w:p w:rsidR="00EE334C" w:rsidRPr="0067693C" w:rsidRDefault="00EE334C" w:rsidP="00EE334C">
      <w:pPr>
        <w:autoSpaceDE w:val="0"/>
        <w:autoSpaceDN w:val="0"/>
        <w:adjustRightInd w:val="0"/>
        <w:snapToGrid w:val="0"/>
        <w:spacing w:line="600" w:lineRule="atLeast"/>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 xml:space="preserve">    （二）选修课：学生必须修满规定的选修课学分。选修课应在本专业的专业培养方案进程表中所列的选修课范围内选修，原则上以教学班为单位进行选修，学生也可以在规定的范围内自选选修课，但须经所在教学班和办学单位同意。</w:t>
      </w:r>
    </w:p>
    <w:p w:rsidR="00EE334C" w:rsidRPr="0067693C" w:rsidRDefault="00EE334C" w:rsidP="00EE334C">
      <w:pPr>
        <w:autoSpaceDE w:val="0"/>
        <w:autoSpaceDN w:val="0"/>
        <w:adjustRightInd w:val="0"/>
        <w:snapToGrid w:val="0"/>
        <w:spacing w:line="600" w:lineRule="atLeast"/>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 xml:space="preserve">    （三）统考课：每个专业中需参加浙江广播电视大学统一考核的课程,参见附件2、3。</w:t>
      </w:r>
    </w:p>
    <w:p w:rsidR="00EE334C" w:rsidRPr="0067693C" w:rsidRDefault="00EE334C" w:rsidP="00EE334C">
      <w:pPr>
        <w:autoSpaceDE w:val="0"/>
        <w:autoSpaceDN w:val="0"/>
        <w:adjustRightInd w:val="0"/>
        <w:snapToGrid w:val="0"/>
        <w:spacing w:line="600" w:lineRule="atLeast"/>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 xml:space="preserve">    （四）学位课：为了获取学位，学生必须通过的课程。学位课程为统考课程，具体学位课程参见附件2。</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（五）课程的教学环节：一般包括授课、实验、实习、社会调查、项目实训、考核等。各环节具体课时参见各课程实施细则。</w:t>
      </w:r>
    </w:p>
    <w:p w:rsidR="00EE334C" w:rsidRPr="0067693C" w:rsidRDefault="00EE334C" w:rsidP="00EE334C">
      <w:pPr>
        <w:widowControl/>
        <w:adjustRightInd w:val="0"/>
        <w:snapToGrid w:val="0"/>
        <w:spacing w:line="600" w:lineRule="atLeast"/>
        <w:jc w:val="left"/>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 xml:space="preserve">    （六）</w:t>
      </w:r>
      <w:proofErr w:type="gramStart"/>
      <w:r w:rsidRPr="0067693C">
        <w:rPr>
          <w:rFonts w:ascii="仿宋_GB2312" w:eastAsia="仿宋_GB2312" w:hAnsiTheme="minorEastAsia" w:cs="仿宋_GB2312" w:hint="eastAsia"/>
          <w:sz w:val="32"/>
          <w:szCs w:val="32"/>
        </w:rPr>
        <w:t>思政课</w:t>
      </w:r>
      <w:proofErr w:type="gramEnd"/>
      <w:r w:rsidRPr="0067693C">
        <w:rPr>
          <w:rFonts w:ascii="仿宋_GB2312" w:eastAsia="仿宋_GB2312" w:hAnsiTheme="minorEastAsia" w:cs="仿宋_GB2312" w:hint="eastAsia"/>
          <w:sz w:val="32"/>
          <w:szCs w:val="32"/>
        </w:rPr>
        <w:t>：为深入贯彻全国、全省高校思想政治工作会议精神，加强思想政治理论课教学，专科各专业开设《思想道德修养与法律基础</w:t>
      </w:r>
      <w:r w:rsidRPr="0067693C">
        <w:rPr>
          <w:rFonts w:ascii="仿宋_GB2312" w:eastAsia="仿宋_GB2312" w:hAnsiTheme="minorEastAsia" w:cs="仿宋_GB2312"/>
          <w:sz w:val="32"/>
          <w:szCs w:val="32"/>
        </w:rPr>
        <w:t>(1)》《毛泽东思想和中国特色社会主义理论体系概论(1)》《形势与政策(1)》</w:t>
      </w:r>
      <w:r>
        <w:rPr>
          <w:rFonts w:ascii="仿宋_GB2312" w:eastAsia="仿宋_GB2312" w:hAnsiTheme="minorEastAsia" w:cs="仿宋_GB2312" w:hint="eastAsia"/>
          <w:sz w:val="32"/>
          <w:szCs w:val="32"/>
        </w:rPr>
        <w:t>，</w:t>
      </w:r>
      <w:r w:rsidRPr="0067693C">
        <w:rPr>
          <w:rFonts w:ascii="仿宋_GB2312" w:eastAsia="仿宋_GB2312" w:hAnsiTheme="minorEastAsia" w:cs="仿宋_GB2312"/>
          <w:sz w:val="32"/>
          <w:szCs w:val="32"/>
        </w:rPr>
        <w:t>本科各专业开设《马克思主义基本原理》《中国近现代史纲要》《毛泽东思想和中国特色社会主义理论体系概论(2)》《思想道德修养与法律基础(2)》《形势与政策(2)》。</w:t>
      </w:r>
      <w:r w:rsidRPr="0067693C">
        <w:rPr>
          <w:rFonts w:ascii="仿宋_GB2312" w:eastAsia="仿宋_GB2312" w:hAnsiTheme="minorEastAsia" w:cs="仿宋_GB2312"/>
          <w:sz w:val="32"/>
          <w:szCs w:val="32"/>
        </w:rPr>
        <w:lastRenderedPageBreak/>
        <w:t xml:space="preserve">其中《形势与政策(1)》《形势与政策(2)》作为选修课在第一至第四学期开设，每学期至少安排2次讲座。 </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（七）证书课程：为加强学历教育与职业资格证书、专业技术等级证书教育的互通</w:t>
      </w:r>
      <w:r w:rsidRPr="0067693C">
        <w:rPr>
          <w:rFonts w:ascii="仿宋_GB2312" w:eastAsia="仿宋_GB2312" w:hAnsiTheme="minorEastAsia" w:cs="仿宋_GB2312"/>
          <w:sz w:val="32"/>
          <w:szCs w:val="32"/>
        </w:rPr>
        <w:t>,在各专业职业技能课模块中设置</w:t>
      </w:r>
      <w:r w:rsidRPr="0067693C">
        <w:rPr>
          <w:rFonts w:ascii="仿宋_GB2312" w:eastAsia="仿宋_GB2312" w:hAnsiTheme="minorEastAsia" w:cs="仿宋_GB2312"/>
          <w:sz w:val="32"/>
          <w:szCs w:val="32"/>
        </w:rPr>
        <w:t>“</w:t>
      </w:r>
      <w:r w:rsidRPr="0067693C">
        <w:rPr>
          <w:rFonts w:ascii="仿宋_GB2312" w:eastAsia="仿宋_GB2312" w:hAnsiTheme="minorEastAsia" w:cs="仿宋_GB2312"/>
          <w:sz w:val="32"/>
          <w:szCs w:val="32"/>
        </w:rPr>
        <w:t>职业证书课程</w:t>
      </w:r>
      <w:r>
        <w:rPr>
          <w:rFonts w:ascii="仿宋_GB2312" w:eastAsia="仿宋_GB2312" w:hAnsiTheme="minorEastAsia" w:cs="仿宋_GB2312" w:hint="eastAsia"/>
          <w:sz w:val="32"/>
          <w:szCs w:val="32"/>
        </w:rPr>
        <w:t>(1)(2)</w:t>
      </w:r>
      <w:r w:rsidRPr="0067693C">
        <w:rPr>
          <w:rFonts w:ascii="仿宋_GB2312" w:eastAsia="仿宋_GB2312" w:hAnsiTheme="minorEastAsia" w:cs="仿宋_GB2312"/>
          <w:sz w:val="32"/>
          <w:szCs w:val="32"/>
        </w:rPr>
        <w:t>”</w:t>
      </w:r>
      <w:r w:rsidRPr="0067693C">
        <w:rPr>
          <w:rFonts w:ascii="仿宋_GB2312" w:eastAsia="仿宋_GB2312" w:hAnsiTheme="minorEastAsia" w:cs="仿宋_GB2312"/>
          <w:sz w:val="32"/>
          <w:szCs w:val="32"/>
        </w:rPr>
        <w:t>（共6学分）和</w:t>
      </w:r>
      <w:r w:rsidRPr="0067693C">
        <w:rPr>
          <w:rFonts w:ascii="仿宋_GB2312" w:eastAsia="仿宋_GB2312" w:hAnsiTheme="minorEastAsia" w:cs="仿宋_GB2312"/>
          <w:sz w:val="32"/>
          <w:szCs w:val="32"/>
        </w:rPr>
        <w:t>“</w:t>
      </w:r>
      <w:r w:rsidRPr="0067693C">
        <w:rPr>
          <w:rFonts w:ascii="仿宋_GB2312" w:eastAsia="仿宋_GB2312" w:hAnsiTheme="minorEastAsia" w:cs="仿宋_GB2312"/>
          <w:sz w:val="32"/>
          <w:szCs w:val="32"/>
        </w:rPr>
        <w:t>专业证书课程</w:t>
      </w:r>
      <w:r w:rsidRPr="0067693C">
        <w:rPr>
          <w:rFonts w:ascii="仿宋_GB2312" w:eastAsia="仿宋_GB2312" w:hAnsiTheme="minorEastAsia" w:cs="仿宋_GB2312"/>
          <w:sz w:val="32"/>
          <w:szCs w:val="32"/>
        </w:rPr>
        <w:t>”</w:t>
      </w:r>
      <w:r w:rsidRPr="0067693C">
        <w:rPr>
          <w:rFonts w:ascii="仿宋_GB2312" w:eastAsia="仿宋_GB2312" w:hAnsiTheme="minorEastAsia" w:cs="仿宋_GB2312"/>
          <w:sz w:val="32"/>
          <w:szCs w:val="32"/>
        </w:rPr>
        <w:t>（3学分），学生可凭相关证书顶替专业培养方案中特定的课程（详见各专业培养方案文字说明部分）。</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（八）体育课：本科成人脱产学生体育课分</w:t>
      </w:r>
      <w:r w:rsidRPr="0067693C">
        <w:rPr>
          <w:rFonts w:ascii="仿宋_GB2312" w:eastAsia="仿宋_GB2312" w:hAnsiTheme="minorEastAsia" w:cs="仿宋_GB2312"/>
          <w:sz w:val="32"/>
          <w:szCs w:val="32"/>
        </w:rPr>
        <w:t>3个学期开设，每学期2学分；专科成人脱产学生体育课分4个学期开设，每学期1学分。</w:t>
      </w:r>
    </w:p>
    <w:p w:rsidR="00EE334C" w:rsidRPr="0067693C" w:rsidRDefault="00EE334C" w:rsidP="00EE334C">
      <w:pPr>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（九）军事技能训练：为成人脱产学生实践环节，军事理论教学时间为</w:t>
      </w:r>
      <w:r w:rsidRPr="0067693C">
        <w:rPr>
          <w:rFonts w:ascii="仿宋_GB2312" w:eastAsia="仿宋_GB2312" w:hAnsiTheme="minorEastAsia" w:cs="仿宋_GB2312"/>
          <w:sz w:val="32"/>
          <w:szCs w:val="32"/>
        </w:rPr>
        <w:t>18学时，军事技能训练时间为2周，总学分为3学分。军事理论教学可以与军事技能训练同时进行。军事理论教学形式可灵活机动，具体参照《普通高等学校军事课教学大纲》（</w:t>
      </w:r>
      <w:proofErr w:type="gramStart"/>
      <w:r w:rsidRPr="0067693C">
        <w:rPr>
          <w:rFonts w:ascii="仿宋_GB2312" w:eastAsia="仿宋_GB2312" w:hAnsiTheme="minorEastAsia" w:cs="仿宋_GB2312" w:hint="eastAsia"/>
          <w:sz w:val="32"/>
          <w:szCs w:val="32"/>
        </w:rPr>
        <w:t>教体艺</w:t>
      </w:r>
      <w:proofErr w:type="gramEnd"/>
      <w:r w:rsidRPr="0067693C">
        <w:rPr>
          <w:rFonts w:ascii="仿宋_GB2312" w:eastAsia="仿宋_GB2312" w:hAnsiTheme="minorEastAsia" w:cs="仿宋_GB2312" w:hint="eastAsia"/>
          <w:sz w:val="32"/>
          <w:szCs w:val="32"/>
        </w:rPr>
        <w:t>〔</w:t>
      </w:r>
      <w:r w:rsidRPr="0067693C">
        <w:rPr>
          <w:rFonts w:ascii="仿宋_GB2312" w:eastAsia="仿宋_GB2312" w:hAnsiTheme="minorEastAsia" w:cs="仿宋_GB2312"/>
          <w:sz w:val="32"/>
          <w:szCs w:val="32"/>
        </w:rPr>
        <w:t>2002〕7号）</w:t>
      </w:r>
      <w:r>
        <w:rPr>
          <w:rFonts w:ascii="仿宋_GB2312" w:eastAsia="仿宋_GB2312" w:hAnsiTheme="minorEastAsia" w:cs="仿宋_GB2312" w:hint="eastAsia"/>
          <w:sz w:val="32"/>
          <w:szCs w:val="32"/>
        </w:rPr>
        <w:t>和</w:t>
      </w:r>
      <w:r w:rsidRPr="0067693C">
        <w:rPr>
          <w:rFonts w:ascii="仿宋_GB2312" w:eastAsia="仿宋_GB2312" w:hAnsiTheme="minorEastAsia" w:cs="仿宋_GB2312"/>
          <w:sz w:val="32"/>
          <w:szCs w:val="32"/>
        </w:rPr>
        <w:t>《学生军事训练工作规定》（</w:t>
      </w:r>
      <w:proofErr w:type="gramStart"/>
      <w:r w:rsidRPr="0067693C">
        <w:rPr>
          <w:rFonts w:ascii="仿宋_GB2312" w:eastAsia="仿宋_GB2312" w:hAnsiTheme="minorEastAsia" w:cs="仿宋_GB2312" w:hint="eastAsia"/>
          <w:sz w:val="32"/>
          <w:szCs w:val="32"/>
        </w:rPr>
        <w:t>浙教体</w:t>
      </w:r>
      <w:proofErr w:type="gramEnd"/>
      <w:r w:rsidRPr="0067693C">
        <w:rPr>
          <w:rFonts w:ascii="仿宋_GB2312" w:eastAsia="仿宋_GB2312" w:hAnsiTheme="minorEastAsia" w:cs="仿宋_GB2312" w:hint="eastAsia"/>
          <w:sz w:val="32"/>
          <w:szCs w:val="32"/>
        </w:rPr>
        <w:t>〔</w:t>
      </w:r>
      <w:r w:rsidRPr="0067693C">
        <w:rPr>
          <w:rFonts w:ascii="仿宋_GB2312" w:eastAsia="仿宋_GB2312" w:hAnsiTheme="minorEastAsia" w:cs="仿宋_GB2312"/>
          <w:sz w:val="32"/>
          <w:szCs w:val="32"/>
        </w:rPr>
        <w:t>2007〕72号）执行。</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（十）学时计算：课程的课内学时按课程学分乘以</w:t>
      </w:r>
      <w:r w:rsidRPr="0067693C">
        <w:rPr>
          <w:rFonts w:ascii="仿宋_GB2312" w:eastAsia="仿宋_GB2312" w:hAnsiTheme="minorEastAsia" w:cs="仿宋_GB2312"/>
          <w:sz w:val="32"/>
          <w:szCs w:val="32"/>
        </w:rPr>
        <w:t>18计算。</w:t>
      </w:r>
    </w:p>
    <w:p w:rsidR="00EE334C" w:rsidRPr="0067693C" w:rsidRDefault="00EE334C" w:rsidP="00EE334C">
      <w:pPr>
        <w:adjustRightInd w:val="0"/>
        <w:snapToGrid w:val="0"/>
        <w:spacing w:line="600" w:lineRule="atLeast"/>
        <w:ind w:firstLineChars="200" w:firstLine="640"/>
        <w:outlineLvl w:val="0"/>
        <w:rPr>
          <w:rFonts w:ascii="黑体" w:eastAsia="黑体" w:hAnsiTheme="minorEastAsia" w:cs="黑体"/>
          <w:sz w:val="32"/>
          <w:szCs w:val="32"/>
        </w:rPr>
      </w:pPr>
      <w:r w:rsidRPr="0067693C">
        <w:rPr>
          <w:rFonts w:ascii="黑体" w:eastAsia="黑体" w:hAnsiTheme="minorEastAsia" w:cs="黑体" w:hint="eastAsia"/>
          <w:sz w:val="32"/>
          <w:szCs w:val="32"/>
        </w:rPr>
        <w:t>三、教学环节</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教学环节包括授课、实践性教学环节及考核等。</w:t>
      </w:r>
    </w:p>
    <w:p w:rsidR="00EE334C" w:rsidRPr="0067693C" w:rsidRDefault="00EE334C" w:rsidP="00EE334C">
      <w:pPr>
        <w:autoSpaceDE w:val="0"/>
        <w:autoSpaceDN w:val="0"/>
        <w:adjustRightInd w:val="0"/>
        <w:snapToGrid w:val="0"/>
        <w:spacing w:line="600" w:lineRule="atLeast"/>
        <w:ind w:firstLineChars="200" w:firstLine="640"/>
        <w:outlineLvl w:val="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（一）授课：面授教学为成人脱产学生学习理论知识的主要手段和方式，同时，提倡利用现代远程教育技术组织开展网上教学。各办学单位按计划保质保量完成教学任务。</w:t>
      </w:r>
    </w:p>
    <w:p w:rsidR="00EE334C" w:rsidRPr="0067693C" w:rsidRDefault="00EE334C" w:rsidP="00EE334C">
      <w:pPr>
        <w:autoSpaceDE w:val="0"/>
        <w:autoSpaceDN w:val="0"/>
        <w:adjustRightInd w:val="0"/>
        <w:snapToGrid w:val="0"/>
        <w:spacing w:line="600" w:lineRule="atLeast"/>
        <w:ind w:firstLineChars="200" w:firstLine="640"/>
        <w:outlineLvl w:val="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（二）实践性教学环节：各专业实践性教学环节具体按各专</w:t>
      </w:r>
      <w:r w:rsidRPr="0067693C">
        <w:rPr>
          <w:rFonts w:ascii="仿宋_GB2312" w:eastAsia="仿宋_GB2312" w:hAnsiTheme="minorEastAsia" w:cs="仿宋_GB2312" w:hint="eastAsia"/>
          <w:sz w:val="32"/>
          <w:szCs w:val="32"/>
        </w:rPr>
        <w:lastRenderedPageBreak/>
        <w:t>业培养方案并参照《浙江广播电视大学开放教育实践环节教学工作管理办法》（浙电大〔</w:t>
      </w:r>
      <w:r w:rsidRPr="0067693C">
        <w:rPr>
          <w:rFonts w:ascii="仿宋_GB2312" w:eastAsia="仿宋_GB2312" w:hAnsiTheme="minorEastAsia" w:cs="仿宋_GB2312"/>
          <w:sz w:val="32"/>
          <w:szCs w:val="32"/>
        </w:rPr>
        <w:t>2013〕32号）及相关文件精神执行。学生修满专业培养方案中课程总学分的80%后可提出申请参加毕业设计（毕业论文）的撰写。办学单位须妥善保存学生的实验、实习、社会调查、毕业设计等实践性教学环节的原始材料，省电大将定期或不定期进行检查。检查中发现无原始材料或原始材料不齐备者，取消该门课程的成绩。</w:t>
      </w:r>
    </w:p>
    <w:p w:rsidR="00EE334C" w:rsidRPr="0067693C" w:rsidRDefault="00EE334C" w:rsidP="00EE334C">
      <w:pPr>
        <w:autoSpaceDE w:val="0"/>
        <w:autoSpaceDN w:val="0"/>
        <w:adjustRightInd w:val="0"/>
        <w:snapToGrid w:val="0"/>
        <w:spacing w:line="600" w:lineRule="atLeast"/>
        <w:ind w:firstLineChars="200" w:firstLine="640"/>
        <w:outlineLvl w:val="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三）考核：为使成人高等教育更好地适应社会需要，培养学生的实践能力、创新能力，须加强教学过程管理，注重学生学习过程评价，要求各办学单位在成人高等教育中把形成性（过程）考核和终结性（期末）考核结合起来。本科统考课程的形成性考核比例由省电大统一确定为</w:t>
      </w:r>
      <w:r w:rsidRPr="0067693C">
        <w:rPr>
          <w:rFonts w:ascii="仿宋_GB2312" w:eastAsia="仿宋_GB2312" w:hAnsiTheme="minorEastAsia" w:cs="仿宋_GB2312"/>
          <w:sz w:val="32"/>
          <w:szCs w:val="32"/>
        </w:rPr>
        <w:t>30%，专科统考课程的形成性考核比例见统考表，其他课程</w:t>
      </w:r>
      <w:proofErr w:type="gramStart"/>
      <w:r w:rsidRPr="0067693C">
        <w:rPr>
          <w:rFonts w:ascii="仿宋_GB2312" w:eastAsia="仿宋_GB2312" w:hAnsiTheme="minorEastAsia" w:cs="仿宋_GB2312" w:hint="eastAsia"/>
          <w:sz w:val="32"/>
          <w:szCs w:val="32"/>
        </w:rPr>
        <w:t>形考比例</w:t>
      </w:r>
      <w:proofErr w:type="gramEnd"/>
      <w:r w:rsidRPr="0067693C">
        <w:rPr>
          <w:rFonts w:ascii="仿宋_GB2312" w:eastAsia="仿宋_GB2312" w:hAnsiTheme="minorEastAsia" w:cs="仿宋_GB2312" w:hint="eastAsia"/>
          <w:sz w:val="32"/>
          <w:szCs w:val="32"/>
        </w:rPr>
        <w:t>由各办学单位根据教学需求和实际情况确定。实施形成性考核的具体要求暂时参照《浙江广播电视大学关于普通专科教育、成人专科教育课程形成性考核的实施意见（试行）》（浙电大〔</w:t>
      </w:r>
      <w:r w:rsidRPr="0067693C">
        <w:rPr>
          <w:rFonts w:ascii="仿宋_GB2312" w:eastAsia="仿宋_GB2312" w:hAnsiTheme="minorEastAsia" w:cs="仿宋_GB2312"/>
          <w:sz w:val="32"/>
          <w:szCs w:val="32"/>
        </w:rPr>
        <w:t xml:space="preserve">2005〕137号），形成性考核成绩采用百分制记录。 </w:t>
      </w:r>
    </w:p>
    <w:p w:rsidR="00EE334C" w:rsidRPr="0067693C" w:rsidRDefault="00EE334C" w:rsidP="00EE334C">
      <w:pPr>
        <w:adjustRightInd w:val="0"/>
        <w:snapToGrid w:val="0"/>
        <w:spacing w:line="600" w:lineRule="atLeast"/>
        <w:ind w:firstLineChars="200" w:firstLine="640"/>
        <w:outlineLvl w:val="0"/>
        <w:rPr>
          <w:rFonts w:ascii="黑体" w:eastAsia="黑体" w:hAnsiTheme="minorEastAsia" w:cs="黑体"/>
          <w:sz w:val="32"/>
          <w:szCs w:val="32"/>
        </w:rPr>
      </w:pPr>
      <w:r w:rsidRPr="0067693C">
        <w:rPr>
          <w:rFonts w:ascii="黑体" w:eastAsia="黑体" w:hAnsiTheme="minorEastAsia" w:cs="黑体" w:hint="eastAsia"/>
          <w:sz w:val="32"/>
          <w:szCs w:val="32"/>
        </w:rPr>
        <w:t>四、学制及学分</w:t>
      </w:r>
    </w:p>
    <w:p w:rsidR="00EE334C" w:rsidRPr="0067693C" w:rsidRDefault="00EE334C" w:rsidP="00EE334C">
      <w:pPr>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根据《</w:t>
      </w:r>
      <w:r w:rsidRPr="0067693C">
        <w:rPr>
          <w:rFonts w:ascii="仿宋_GB2312" w:eastAsia="仿宋_GB2312" w:hAnsiTheme="minorEastAsia" w:cs="仿宋_GB2312"/>
          <w:sz w:val="32"/>
          <w:szCs w:val="32"/>
        </w:rPr>
        <w:t>2008年浙江省成人高校招生工作实施办法》（浙</w:t>
      </w:r>
      <w:proofErr w:type="gramStart"/>
      <w:r w:rsidRPr="0067693C">
        <w:rPr>
          <w:rFonts w:ascii="仿宋_GB2312" w:eastAsia="仿宋_GB2312" w:hAnsiTheme="minorEastAsia" w:cs="仿宋_GB2312" w:hint="eastAsia"/>
          <w:sz w:val="32"/>
          <w:szCs w:val="32"/>
        </w:rPr>
        <w:t>高招委</w:t>
      </w:r>
      <w:proofErr w:type="gramEnd"/>
      <w:r w:rsidRPr="0067693C">
        <w:rPr>
          <w:rFonts w:ascii="仿宋_GB2312" w:eastAsia="仿宋_GB2312" w:hAnsiTheme="minorEastAsia" w:cs="仿宋_GB2312" w:hint="eastAsia"/>
          <w:sz w:val="32"/>
          <w:szCs w:val="32"/>
        </w:rPr>
        <w:t>〔</w:t>
      </w:r>
      <w:r w:rsidRPr="0067693C">
        <w:rPr>
          <w:rFonts w:ascii="仿宋_GB2312" w:eastAsia="仿宋_GB2312" w:hAnsiTheme="minorEastAsia" w:cs="仿宋_GB2312"/>
          <w:sz w:val="32"/>
          <w:szCs w:val="32"/>
        </w:rPr>
        <w:t>2008〕6号）相关规定，浙江广播电视大学成人高等</w:t>
      </w:r>
      <w:r w:rsidRPr="0067693C">
        <w:rPr>
          <w:rFonts w:ascii="仿宋_GB2312" w:eastAsia="仿宋_GB2312" w:hAnsiTheme="minorEastAsia" w:cs="仿宋_GB2312" w:hint="eastAsia"/>
          <w:sz w:val="32"/>
          <w:szCs w:val="32"/>
        </w:rPr>
        <w:t>教育本科专业（专升本，脱产）执行两年制学制，毕业总学分为</w:t>
      </w:r>
      <w:r w:rsidRPr="0067693C">
        <w:rPr>
          <w:rFonts w:ascii="仿宋_GB2312" w:eastAsia="仿宋_GB2312" w:hAnsiTheme="minorEastAsia" w:cs="仿宋_GB2312"/>
          <w:sz w:val="32"/>
          <w:szCs w:val="32"/>
        </w:rPr>
        <w:t>90分。成人高等</w:t>
      </w:r>
      <w:r w:rsidRPr="0067693C">
        <w:rPr>
          <w:rFonts w:ascii="仿宋_GB2312" w:eastAsia="仿宋_GB2312" w:hAnsiTheme="minorEastAsia" w:cs="仿宋_GB2312" w:hint="eastAsia"/>
          <w:sz w:val="32"/>
          <w:szCs w:val="32"/>
        </w:rPr>
        <w:t>教育专科专业（脱产）执行三年制学制，毕业总学分为</w:t>
      </w:r>
      <w:r w:rsidRPr="0067693C">
        <w:rPr>
          <w:rFonts w:ascii="仿宋_GB2312" w:eastAsia="仿宋_GB2312" w:hAnsiTheme="minorEastAsia" w:cs="仿宋_GB2312"/>
          <w:sz w:val="32"/>
          <w:szCs w:val="32"/>
        </w:rPr>
        <w:t>120分，嘉兴电大、台州电大、杭州财校教学点、浙江电大临海学院</w:t>
      </w:r>
      <w:r w:rsidRPr="0067693C">
        <w:rPr>
          <w:rFonts w:ascii="仿宋_GB2312" w:eastAsia="仿宋_GB2312" w:hAnsiTheme="minorEastAsia" w:cs="仿宋_GB2312"/>
          <w:sz w:val="32"/>
          <w:szCs w:val="32"/>
        </w:rPr>
        <w:lastRenderedPageBreak/>
        <w:t>特设专业（脱产）执行两年制学制，毕业总学分为85分</w:t>
      </w:r>
      <w:r w:rsidRPr="0067693C">
        <w:rPr>
          <w:rFonts w:ascii="仿宋_GB2312" w:eastAsia="仿宋_GB2312" w:hAnsiTheme="minorEastAsia" w:cs="仿宋_GB2312" w:hint="eastAsia"/>
          <w:sz w:val="32"/>
          <w:szCs w:val="32"/>
        </w:rPr>
        <w:t>；成人高等教育专科专业（业余）执行两年半学制，毕业总学分为</w:t>
      </w:r>
      <w:r w:rsidRPr="0067693C">
        <w:rPr>
          <w:rFonts w:ascii="仿宋_GB2312" w:eastAsia="仿宋_GB2312" w:hAnsiTheme="minorEastAsia" w:cs="仿宋_GB2312"/>
          <w:sz w:val="32"/>
          <w:szCs w:val="32"/>
        </w:rPr>
        <w:t>85分。</w:t>
      </w:r>
    </w:p>
    <w:p w:rsidR="00EE334C" w:rsidRPr="0067693C" w:rsidRDefault="00EE334C" w:rsidP="00EE334C">
      <w:pPr>
        <w:adjustRightInd w:val="0"/>
        <w:snapToGrid w:val="0"/>
        <w:spacing w:line="600" w:lineRule="atLeast"/>
        <w:ind w:firstLineChars="200" w:firstLine="640"/>
        <w:outlineLvl w:val="0"/>
        <w:rPr>
          <w:rFonts w:ascii="黑体" w:eastAsia="黑体" w:hAnsiTheme="minorEastAsia" w:cs="黑体"/>
          <w:sz w:val="32"/>
          <w:szCs w:val="32"/>
        </w:rPr>
      </w:pPr>
      <w:r w:rsidRPr="0067693C">
        <w:rPr>
          <w:rFonts w:ascii="黑体" w:eastAsia="黑体" w:hAnsiTheme="minorEastAsia" w:cs="黑体" w:hint="eastAsia"/>
          <w:sz w:val="32"/>
          <w:szCs w:val="32"/>
        </w:rPr>
        <w:t>五、毕业</w:t>
      </w:r>
    </w:p>
    <w:p w:rsidR="00EE334C" w:rsidRPr="0067693C" w:rsidRDefault="00EE334C" w:rsidP="00EE334C">
      <w:pPr>
        <w:autoSpaceDE w:val="0"/>
        <w:autoSpaceDN w:val="0"/>
        <w:adjustRightInd w:val="0"/>
        <w:snapToGrid w:val="0"/>
        <w:spacing w:line="600" w:lineRule="atLeast"/>
        <w:ind w:firstLineChars="200" w:firstLine="640"/>
        <w:rPr>
          <w:rFonts w:ascii="仿宋_GB2312" w:eastAsia="仿宋_GB2312" w:hAnsiTheme="minorEastAsia" w:cs="仿宋_GB2312"/>
          <w:sz w:val="32"/>
          <w:szCs w:val="32"/>
        </w:rPr>
      </w:pPr>
      <w:r w:rsidRPr="0067693C">
        <w:rPr>
          <w:rFonts w:ascii="仿宋_GB2312" w:eastAsia="仿宋_GB2312" w:hAnsiTheme="minorEastAsia" w:cs="仿宋_GB2312" w:hint="eastAsia"/>
          <w:sz w:val="32"/>
          <w:szCs w:val="32"/>
        </w:rPr>
        <w:t>各专业毕业总学分及各教学环节的学分分配，详见各专业培养方案进程表。学生按照专业培养方案修完规定课程并考试合格，完成各实践性教学环节，达到毕业总学分要求，思想品德经鉴定符合要求，可准予毕业。由浙江广播电视大学颁发相应的高等教育毕业证书，国家承认其学历。本科专业符合有关学位授予要求的学生，经申报通过后，可获得相应的学士学位。学位授予实施细则另行发文。</w:t>
      </w:r>
    </w:p>
    <w:p w:rsidR="00EE334C" w:rsidRPr="0067693C" w:rsidRDefault="00EE334C" w:rsidP="00EE334C">
      <w:pPr>
        <w:pStyle w:val="2"/>
        <w:widowControl/>
        <w:spacing w:line="600" w:lineRule="atLeast"/>
        <w:ind w:firstLine="640"/>
        <w:jc w:val="both"/>
        <w:rPr>
          <w:rFonts w:ascii="仿宋_GB2312" w:eastAsia="仿宋_GB2312" w:hAnsiTheme="minorEastAsia"/>
          <w:sz w:val="32"/>
          <w:szCs w:val="32"/>
        </w:rPr>
      </w:pPr>
      <w:r w:rsidRPr="0067693C">
        <w:rPr>
          <w:rFonts w:ascii="仿宋_GB2312" w:eastAsia="仿宋_GB2312" w:hAnsiTheme="minorEastAsia"/>
          <w:sz w:val="32"/>
          <w:szCs w:val="32"/>
        </w:rPr>
        <w:t xml:space="preserve">   </w:t>
      </w:r>
    </w:p>
    <w:p w:rsidR="00EE334C" w:rsidRDefault="00EE334C" w:rsidP="00EE334C">
      <w:pPr>
        <w:pStyle w:val="2"/>
        <w:widowControl/>
        <w:spacing w:line="600" w:lineRule="atLeast"/>
        <w:ind w:firstLineChars="15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附件： 1.浙江广播电视大学2018级成人高等教育开设专业一</w:t>
      </w:r>
    </w:p>
    <w:p w:rsidR="00EE334C" w:rsidRPr="0067693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proofErr w:type="gramStart"/>
      <w:r w:rsidRPr="0067693C">
        <w:rPr>
          <w:rFonts w:ascii="仿宋_GB2312" w:eastAsia="仿宋_GB2312" w:hAnsiTheme="minorEastAsia" w:cs="仿宋_GB2312"/>
          <w:sz w:val="32"/>
          <w:szCs w:val="32"/>
        </w:rPr>
        <w:t>览</w:t>
      </w:r>
      <w:proofErr w:type="gramEnd"/>
      <w:r w:rsidRPr="0067693C">
        <w:rPr>
          <w:rFonts w:ascii="仿宋_GB2312" w:eastAsia="仿宋_GB2312" w:hAnsiTheme="minorEastAsia" w:cs="仿宋_GB2312"/>
          <w:sz w:val="32"/>
          <w:szCs w:val="32"/>
        </w:rPr>
        <w:t>表</w:t>
      </w:r>
    </w:p>
    <w:p w:rsidR="00EE334C" w:rsidRDefault="00EE334C" w:rsidP="00EE334C">
      <w:pPr>
        <w:pStyle w:val="2"/>
        <w:widowControl/>
        <w:spacing w:line="600" w:lineRule="atLeast"/>
        <w:ind w:firstLineChars="500" w:firstLine="160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2.浙江广播电视大学成人高等教育本科统考课程一览</w:t>
      </w:r>
    </w:p>
    <w:p w:rsidR="00EE334C" w:rsidRPr="0067693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表</w:t>
      </w:r>
    </w:p>
    <w:p w:rsidR="00EE334C" w:rsidRDefault="00EE334C" w:rsidP="00EE334C">
      <w:pPr>
        <w:pStyle w:val="2"/>
        <w:widowControl/>
        <w:spacing w:line="600" w:lineRule="atLeast"/>
        <w:ind w:firstLineChars="500" w:firstLine="160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3.浙江广播电视大学成人高等教育专科统考课程一览</w:t>
      </w:r>
    </w:p>
    <w:p w:rsidR="00EE334C" w:rsidRPr="0067693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表</w:t>
      </w:r>
    </w:p>
    <w:p w:rsidR="00EE334C" w:rsidRDefault="00EE334C" w:rsidP="00EE334C">
      <w:pPr>
        <w:pStyle w:val="2"/>
        <w:widowControl/>
        <w:spacing w:line="600" w:lineRule="atLeast"/>
        <w:ind w:firstLineChars="500" w:firstLine="160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4.浙江广播电视大学2018级成人高等教育专业培养方</w:t>
      </w:r>
    </w:p>
    <w:p w:rsidR="00EE334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t>案（另成册印发）</w:t>
      </w:r>
    </w:p>
    <w:p w:rsidR="00EE334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p>
    <w:p w:rsidR="00EE334C" w:rsidRDefault="00EE334C" w:rsidP="00EE334C">
      <w:pPr>
        <w:pStyle w:val="2"/>
        <w:widowControl/>
        <w:spacing w:line="600" w:lineRule="atLeast"/>
        <w:ind w:firstLineChars="600" w:firstLine="1920"/>
        <w:jc w:val="both"/>
        <w:rPr>
          <w:rFonts w:ascii="仿宋_GB2312" w:eastAsia="仿宋_GB2312" w:hAnsiTheme="minorEastAsia" w:cs="仿宋_GB2312"/>
          <w:sz w:val="32"/>
          <w:szCs w:val="32"/>
        </w:rPr>
      </w:pPr>
    </w:p>
    <w:p w:rsidR="00EE334C" w:rsidRPr="0067693C" w:rsidRDefault="00EE334C" w:rsidP="00EE334C">
      <w:pPr>
        <w:pStyle w:val="2"/>
        <w:widowControl/>
        <w:spacing w:line="600" w:lineRule="atLeast"/>
        <w:ind w:leftChars="760" w:left="1916" w:hangingChars="100" w:hanging="320"/>
        <w:jc w:val="both"/>
        <w:rPr>
          <w:rFonts w:ascii="仿宋_GB2312" w:eastAsia="仿宋_GB2312" w:hAnsiTheme="minorEastAsia" w:cs="仿宋_GB2312"/>
          <w:sz w:val="32"/>
          <w:szCs w:val="32"/>
        </w:rPr>
      </w:pPr>
      <w:r w:rsidRPr="0067693C">
        <w:rPr>
          <w:rFonts w:ascii="仿宋_GB2312" w:eastAsia="仿宋_GB2312" w:hAnsiTheme="minorEastAsia"/>
          <w:sz w:val="32"/>
          <w:szCs w:val="32"/>
        </w:rPr>
        <w:t xml:space="preserve">             </w:t>
      </w:r>
      <w:r w:rsidRPr="0067693C">
        <w:rPr>
          <w:rFonts w:ascii="仿宋_GB2312" w:eastAsia="仿宋_GB2312" w:hAnsiTheme="minorEastAsia" w:cs="仿宋_GB2312"/>
          <w:kern w:val="2"/>
          <w:sz w:val="32"/>
          <w:szCs w:val="32"/>
        </w:rPr>
        <w:t>浙江广播电视大学校长办公室</w:t>
      </w:r>
    </w:p>
    <w:p w:rsidR="00EE334C" w:rsidRPr="0067693C" w:rsidRDefault="00EE334C" w:rsidP="00EE334C">
      <w:pPr>
        <w:adjustRightInd w:val="0"/>
        <w:snapToGrid w:val="0"/>
        <w:spacing w:line="600" w:lineRule="atLeast"/>
        <w:ind w:firstLineChars="1450" w:firstLine="4640"/>
        <w:rPr>
          <w:rFonts w:ascii="仿宋_GB2312" w:eastAsia="仿宋_GB2312" w:hAnsiTheme="minorEastAsia" w:cs="仿宋_GB2312"/>
          <w:sz w:val="32"/>
          <w:szCs w:val="32"/>
        </w:rPr>
      </w:pPr>
      <w:r w:rsidRPr="0067693C">
        <w:rPr>
          <w:rFonts w:ascii="仿宋_GB2312" w:eastAsia="仿宋_GB2312" w:hAnsiTheme="minorEastAsia" w:cs="仿宋_GB2312"/>
          <w:sz w:val="32"/>
          <w:szCs w:val="32"/>
        </w:rPr>
        <w:lastRenderedPageBreak/>
        <w:t>2018</w:t>
      </w:r>
      <w:r w:rsidRPr="0067693C">
        <w:rPr>
          <w:rFonts w:ascii="仿宋_GB2312" w:eastAsia="仿宋_GB2312" w:hAnsiTheme="minorEastAsia" w:cs="仿宋_GB2312" w:hint="eastAsia"/>
          <w:sz w:val="32"/>
          <w:szCs w:val="32"/>
        </w:rPr>
        <w:t>年</w:t>
      </w:r>
      <w:r>
        <w:rPr>
          <w:rFonts w:ascii="仿宋_GB2312" w:eastAsia="仿宋_GB2312" w:hAnsiTheme="minorEastAsia" w:cs="仿宋_GB2312" w:hint="eastAsia"/>
          <w:sz w:val="32"/>
          <w:szCs w:val="32"/>
        </w:rPr>
        <w:t>4</w:t>
      </w:r>
      <w:r w:rsidRPr="0067693C">
        <w:rPr>
          <w:rFonts w:ascii="仿宋_GB2312" w:eastAsia="仿宋_GB2312" w:hAnsiTheme="minorEastAsia" w:cs="仿宋_GB2312"/>
          <w:sz w:val="32"/>
          <w:szCs w:val="32"/>
        </w:rPr>
        <w:t>月</w:t>
      </w:r>
      <w:r w:rsidR="00AC40C2">
        <w:rPr>
          <w:rFonts w:ascii="仿宋_GB2312" w:eastAsia="仿宋_GB2312" w:hAnsiTheme="minorEastAsia" w:cs="仿宋_GB2312" w:hint="eastAsia"/>
          <w:sz w:val="32"/>
          <w:szCs w:val="32"/>
        </w:rPr>
        <w:t>10</w:t>
      </w:r>
      <w:r w:rsidRPr="0067693C">
        <w:rPr>
          <w:rFonts w:ascii="仿宋_GB2312" w:eastAsia="仿宋_GB2312" w:hAnsiTheme="minorEastAsia" w:cs="仿宋_GB2312" w:hint="eastAsia"/>
          <w:sz w:val="32"/>
          <w:szCs w:val="32"/>
        </w:rPr>
        <w:t>日</w:t>
      </w:r>
    </w:p>
    <w:p w:rsidR="00EE334C" w:rsidRPr="009276D7" w:rsidRDefault="00EE334C" w:rsidP="00EE334C">
      <w:pPr>
        <w:adjustRightInd w:val="0"/>
        <w:snapToGrid w:val="0"/>
        <w:spacing w:line="480" w:lineRule="exact"/>
        <w:rPr>
          <w:rFonts w:asciiTheme="minorEastAsia" w:hAnsiTheme="minorEastAsia" w:cs="仿宋_GB2312"/>
          <w:sz w:val="32"/>
          <w:szCs w:val="32"/>
        </w:rPr>
      </w:pPr>
      <w:r w:rsidRPr="009276D7">
        <w:rPr>
          <w:rFonts w:asciiTheme="minorEastAsia" w:hAnsiTheme="minorEastAsia" w:cs="仿宋_GB2312" w:hint="eastAsia"/>
          <w:sz w:val="32"/>
          <w:szCs w:val="32"/>
        </w:rPr>
        <w:t xml:space="preserve"> </w:t>
      </w:r>
    </w:p>
    <w:p w:rsidR="00EE334C" w:rsidRPr="009276D7" w:rsidRDefault="00EE334C" w:rsidP="00EE334C">
      <w:pPr>
        <w:adjustRightInd w:val="0"/>
        <w:snapToGrid w:val="0"/>
        <w:spacing w:line="480" w:lineRule="exact"/>
        <w:rPr>
          <w:rFonts w:asciiTheme="minorEastAsia" w:hAnsiTheme="minorEastAsia" w:cs="方正黑体_GBK"/>
          <w:sz w:val="32"/>
          <w:szCs w:val="32"/>
        </w:rPr>
      </w:pPr>
    </w:p>
    <w:p w:rsidR="00EE334C" w:rsidRPr="009276D7" w:rsidRDefault="00EE334C" w:rsidP="00EE334C">
      <w:pPr>
        <w:adjustRightInd w:val="0"/>
        <w:snapToGrid w:val="0"/>
        <w:spacing w:line="480" w:lineRule="exact"/>
        <w:rPr>
          <w:rFonts w:asciiTheme="minorEastAsia" w:hAnsiTheme="minorEastAsia" w:cs="方正黑体_GBK"/>
          <w:sz w:val="32"/>
          <w:szCs w:val="32"/>
        </w:rPr>
      </w:pPr>
    </w:p>
    <w:p w:rsidR="00EE334C" w:rsidRPr="009276D7" w:rsidRDefault="00EE334C" w:rsidP="00EE334C">
      <w:pPr>
        <w:adjustRightInd w:val="0"/>
        <w:snapToGrid w:val="0"/>
        <w:spacing w:line="480" w:lineRule="exact"/>
        <w:rPr>
          <w:rFonts w:asciiTheme="minorEastAsia" w:hAnsiTheme="minorEastAsia" w:cs="方正黑体_GBK"/>
          <w:sz w:val="32"/>
          <w:szCs w:val="32"/>
        </w:rPr>
      </w:pPr>
    </w:p>
    <w:p w:rsidR="00EE334C" w:rsidRPr="009276D7" w:rsidRDefault="00EE334C" w:rsidP="00EE334C">
      <w:pPr>
        <w:adjustRightInd w:val="0"/>
        <w:snapToGrid w:val="0"/>
        <w:spacing w:line="480" w:lineRule="exact"/>
        <w:rPr>
          <w:rFonts w:asciiTheme="minorEastAsia" w:hAnsiTheme="minorEastAsia" w:cs="方正黑体_GBK"/>
          <w:sz w:val="32"/>
          <w:szCs w:val="32"/>
        </w:rPr>
      </w:pPr>
    </w:p>
    <w:p w:rsidR="00EE334C" w:rsidRPr="009276D7" w:rsidRDefault="00EE334C" w:rsidP="00EE334C">
      <w:pPr>
        <w:adjustRightInd w:val="0"/>
        <w:snapToGrid w:val="0"/>
        <w:spacing w:line="480" w:lineRule="exact"/>
        <w:rPr>
          <w:rFonts w:asciiTheme="minorEastAsia" w:hAnsiTheme="minorEastAsia" w:cs="方正黑体_GBK"/>
          <w:sz w:val="32"/>
          <w:szCs w:val="32"/>
        </w:rPr>
      </w:pPr>
    </w:p>
    <w:p w:rsidR="00EE334C" w:rsidRPr="00BF635C" w:rsidRDefault="00EE334C" w:rsidP="00EE334C">
      <w:pPr>
        <w:adjustRightInd w:val="0"/>
        <w:snapToGrid w:val="0"/>
        <w:spacing w:line="480" w:lineRule="exact"/>
        <w:rPr>
          <w:rFonts w:ascii="黑体" w:eastAsia="黑体" w:hAnsiTheme="minorEastAsia" w:cs="方正黑体_GBK"/>
          <w:sz w:val="32"/>
          <w:szCs w:val="32"/>
        </w:rPr>
      </w:pPr>
      <w:r w:rsidRPr="0067693C">
        <w:rPr>
          <w:rFonts w:ascii="黑体" w:eastAsia="黑体" w:hAnsiTheme="minorEastAsia" w:cs="方正黑体_GBK" w:hint="eastAsia"/>
          <w:sz w:val="32"/>
          <w:szCs w:val="32"/>
        </w:rPr>
        <w:t>附件</w:t>
      </w:r>
      <w:r w:rsidRPr="0067693C">
        <w:rPr>
          <w:rFonts w:ascii="黑体" w:eastAsia="黑体" w:hAnsiTheme="minorEastAsia" w:cs="方正黑体_GBK"/>
          <w:sz w:val="32"/>
          <w:szCs w:val="32"/>
        </w:rPr>
        <w:t>1</w:t>
      </w:r>
    </w:p>
    <w:tbl>
      <w:tblPr>
        <w:tblW w:w="9266" w:type="dxa"/>
        <w:jc w:val="center"/>
        <w:tblLayout w:type="fixed"/>
        <w:tblLook w:val="04A0"/>
      </w:tblPr>
      <w:tblGrid>
        <w:gridCol w:w="714"/>
        <w:gridCol w:w="714"/>
        <w:gridCol w:w="2514"/>
        <w:gridCol w:w="1849"/>
        <w:gridCol w:w="2355"/>
        <w:gridCol w:w="1120"/>
      </w:tblGrid>
      <w:tr w:rsidR="00EE334C" w:rsidRPr="009276D7" w:rsidTr="00A678E9">
        <w:trPr>
          <w:trHeight w:val="402"/>
          <w:jc w:val="center"/>
        </w:trPr>
        <w:tc>
          <w:tcPr>
            <w:tcW w:w="714" w:type="dxa"/>
            <w:shd w:val="clear" w:color="auto" w:fill="auto"/>
          </w:tcPr>
          <w:p w:rsidR="00EE334C" w:rsidRPr="009276D7" w:rsidRDefault="00EE334C" w:rsidP="00A678E9">
            <w:pPr>
              <w:widowControl/>
              <w:jc w:val="center"/>
              <w:rPr>
                <w:rFonts w:asciiTheme="minorEastAsia" w:hAnsiTheme="minorEastAsia" w:cs="方正小标宋简体"/>
                <w:color w:val="000000"/>
                <w:kern w:val="0"/>
                <w:sz w:val="36"/>
                <w:szCs w:val="36"/>
              </w:rPr>
            </w:pPr>
          </w:p>
        </w:tc>
        <w:tc>
          <w:tcPr>
            <w:tcW w:w="8552" w:type="dxa"/>
            <w:gridSpan w:val="5"/>
            <w:shd w:val="clear" w:color="auto" w:fill="auto"/>
            <w:vAlign w:val="center"/>
          </w:tcPr>
          <w:p w:rsidR="00EE334C" w:rsidRPr="00BF635C" w:rsidRDefault="00EE334C" w:rsidP="00A678E9">
            <w:pPr>
              <w:widowControl/>
              <w:adjustRightInd w:val="0"/>
              <w:snapToGrid w:val="0"/>
              <w:spacing w:line="600" w:lineRule="exact"/>
              <w:jc w:val="center"/>
              <w:rPr>
                <w:rFonts w:ascii="方正小标宋简体" w:eastAsia="方正小标宋简体" w:hAnsiTheme="minorEastAsia" w:cs="方正小标宋_GBK"/>
                <w:color w:val="000000"/>
                <w:kern w:val="0"/>
                <w:sz w:val="36"/>
                <w:szCs w:val="36"/>
              </w:rPr>
            </w:pPr>
            <w:r w:rsidRPr="0067693C">
              <w:rPr>
                <w:rFonts w:ascii="方正小标宋简体" w:eastAsia="方正小标宋简体" w:hAnsiTheme="minorEastAsia" w:cs="方正小标宋_GBK" w:hint="eastAsia"/>
                <w:color w:val="000000"/>
                <w:kern w:val="0"/>
                <w:sz w:val="36"/>
                <w:szCs w:val="36"/>
              </w:rPr>
              <w:t>浙江广播电视大学</w:t>
            </w:r>
          </w:p>
          <w:p w:rsidR="00EE334C" w:rsidRDefault="00EE334C" w:rsidP="00A678E9">
            <w:pPr>
              <w:widowControl/>
              <w:adjustRightInd w:val="0"/>
              <w:snapToGrid w:val="0"/>
              <w:spacing w:line="600" w:lineRule="exact"/>
              <w:jc w:val="center"/>
              <w:rPr>
                <w:rFonts w:ascii="方正小标宋简体" w:eastAsia="方正小标宋简体" w:hAnsiTheme="minorEastAsia" w:cs="方正小标宋_GBK"/>
                <w:color w:val="000000"/>
                <w:kern w:val="0"/>
                <w:sz w:val="36"/>
                <w:szCs w:val="36"/>
              </w:rPr>
            </w:pPr>
            <w:r w:rsidRPr="0067693C">
              <w:rPr>
                <w:rFonts w:ascii="方正小标宋简体" w:eastAsia="方正小标宋简体" w:hAnsiTheme="minorEastAsia" w:cs="方正小标宋_GBK"/>
                <w:color w:val="000000"/>
                <w:kern w:val="0"/>
                <w:sz w:val="36"/>
                <w:szCs w:val="36"/>
              </w:rPr>
              <w:t>2018</w:t>
            </w:r>
            <w:r w:rsidRPr="0067693C">
              <w:rPr>
                <w:rFonts w:ascii="方正小标宋简体" w:eastAsia="方正小标宋简体" w:hAnsiTheme="minorEastAsia" w:cs="方正小标宋_GBK" w:hint="eastAsia"/>
                <w:color w:val="000000"/>
                <w:kern w:val="0"/>
                <w:sz w:val="36"/>
                <w:szCs w:val="36"/>
              </w:rPr>
              <w:t>级成人高等教育开设专业一览表</w:t>
            </w:r>
          </w:p>
          <w:p w:rsidR="00EE334C" w:rsidRPr="009276D7" w:rsidRDefault="00EE334C" w:rsidP="00A678E9">
            <w:pPr>
              <w:widowControl/>
              <w:adjustRightInd w:val="0"/>
              <w:snapToGrid w:val="0"/>
              <w:spacing w:line="600" w:lineRule="exact"/>
              <w:jc w:val="center"/>
              <w:rPr>
                <w:rFonts w:asciiTheme="minorEastAsia" w:hAnsiTheme="minorEastAsia" w:cs="仿宋_GB2312"/>
                <w:color w:val="000000"/>
                <w:kern w:val="0"/>
                <w:sz w:val="32"/>
                <w:szCs w:val="32"/>
              </w:rPr>
            </w:pPr>
          </w:p>
        </w:tc>
      </w:tr>
      <w:tr w:rsidR="00EE334C" w:rsidRPr="009276D7" w:rsidTr="00A678E9">
        <w:trPr>
          <w:trHeight w:val="402"/>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层次</w:t>
            </w: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序号</w:t>
            </w:r>
          </w:p>
        </w:tc>
        <w:tc>
          <w:tcPr>
            <w:tcW w:w="251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学科</w:t>
            </w:r>
            <w:r w:rsidRPr="0067693C">
              <w:rPr>
                <w:rFonts w:asciiTheme="minorEastAsia" w:hAnsiTheme="minorEastAsia" w:cs="仿宋_GB2312"/>
                <w:b/>
                <w:color w:val="000000"/>
                <w:kern w:val="0"/>
                <w:sz w:val="24"/>
              </w:rPr>
              <w:t>/大类</w:t>
            </w: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专业类别</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专业名称</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b/>
                <w:color w:val="000000"/>
                <w:kern w:val="0"/>
                <w:sz w:val="24"/>
              </w:rPr>
            </w:pPr>
            <w:r w:rsidRPr="0067693C">
              <w:rPr>
                <w:rFonts w:asciiTheme="minorEastAsia" w:hAnsiTheme="minorEastAsia" w:cs="仿宋_GB2312" w:hint="eastAsia"/>
                <w:b/>
                <w:color w:val="000000"/>
                <w:kern w:val="0"/>
                <w:sz w:val="24"/>
              </w:rPr>
              <w:t>备注</w:t>
            </w:r>
          </w:p>
        </w:tc>
      </w:tr>
      <w:tr w:rsidR="00EE334C" w:rsidRPr="009276D7" w:rsidTr="00A678E9">
        <w:trPr>
          <w:trHeight w:val="720"/>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本科</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管理学</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工商管理类</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会计学</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2</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管理学</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电子商务类</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jc w:val="center"/>
              <w:rPr>
                <w:rFonts w:asciiTheme="minorEastAsia" w:hAnsiTheme="minorEastAsia" w:cs="宋体"/>
                <w:sz w:val="24"/>
              </w:rPr>
            </w:pPr>
            <w:r w:rsidRPr="009276D7">
              <w:rPr>
                <w:rFonts w:asciiTheme="minorEastAsia" w:hAnsiTheme="minorEastAsia" w:hint="eastAsia"/>
              </w:rPr>
              <w:t>电子商务</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3</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教育学</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教育学类</w:t>
            </w: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学前教育</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4</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艺术学</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roofErr w:type="gramStart"/>
            <w:r w:rsidRPr="009276D7">
              <w:rPr>
                <w:rFonts w:asciiTheme="minorEastAsia" w:hAnsiTheme="minorEastAsia" w:cs="仿宋_GB2312" w:hint="eastAsia"/>
                <w:color w:val="000000"/>
                <w:kern w:val="0"/>
                <w:sz w:val="24"/>
              </w:rPr>
              <w:t>设计学类</w:t>
            </w:r>
            <w:proofErr w:type="gramEnd"/>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艺术设计学</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专科</w:t>
            </w: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文化艺术大类</w:t>
            </w:r>
          </w:p>
        </w:tc>
        <w:tc>
          <w:tcPr>
            <w:tcW w:w="1849"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艺术设计类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广告设计与制作</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2</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1849"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视觉传播设计与制作</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3</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环境艺术设计</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4</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教育与体育大类</w:t>
            </w: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语言类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商务英语</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5</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教育类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学前教育</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6</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财经商务大类</w:t>
            </w:r>
          </w:p>
        </w:tc>
        <w:tc>
          <w:tcPr>
            <w:tcW w:w="1849"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市场营销类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市场营销</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7</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1849"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汽车营销与服务</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8</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r w:rsidRPr="009276D7">
              <w:rPr>
                <w:rFonts w:asciiTheme="minorEastAsia" w:hAnsiTheme="minorEastAsia" w:cs="Times New Roman" w:hint="eastAsia"/>
                <w:szCs w:val="22"/>
              </w:rPr>
              <w:t>电子商务类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电子商务</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9</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工商管理类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工商企业管理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10</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adjustRightInd w:val="0"/>
              <w:snapToGrid w:val="0"/>
              <w:spacing w:line="360" w:lineRule="exact"/>
              <w:jc w:val="center"/>
              <w:rPr>
                <w:rFonts w:asciiTheme="minorEastAsia" w:hAnsiTheme="minorEastAsia" w:cs="Times New Roman"/>
                <w:szCs w:val="22"/>
              </w:rPr>
            </w:pPr>
            <w:r w:rsidRPr="009276D7">
              <w:rPr>
                <w:rFonts w:asciiTheme="minorEastAsia" w:hAnsiTheme="minorEastAsia" w:cs="Times New Roman" w:hint="eastAsia"/>
                <w:szCs w:val="22"/>
              </w:rPr>
              <w:t>物流类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物流管理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11</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财务会计类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会计</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12</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金融类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金融管理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13</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经济贸易类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国际经济与贸易</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14</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土木建筑大类</w:t>
            </w: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土建施工类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建筑工程技术</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15</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建筑工程管理类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建筑经济管理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16</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电子信息大类</w:t>
            </w:r>
          </w:p>
        </w:tc>
        <w:tc>
          <w:tcPr>
            <w:tcW w:w="1849"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计算机类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计算机网络技术</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17</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计算机信息管理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18</w:t>
            </w:r>
          </w:p>
        </w:tc>
        <w:tc>
          <w:tcPr>
            <w:tcW w:w="251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装备制造大类</w:t>
            </w:r>
          </w:p>
        </w:tc>
        <w:tc>
          <w:tcPr>
            <w:tcW w:w="1849"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自动化类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机电一体化技术</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19</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电气自动化技术</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20</w:t>
            </w:r>
          </w:p>
        </w:tc>
        <w:tc>
          <w:tcPr>
            <w:tcW w:w="2514" w:type="dxa"/>
            <w:vMerge/>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r w:rsidRPr="009276D7">
              <w:rPr>
                <w:rFonts w:asciiTheme="minorEastAsia" w:hAnsiTheme="minorEastAsia" w:cs="Times New Roman" w:hint="eastAsia"/>
                <w:szCs w:val="22"/>
              </w:rPr>
              <w:t>机械设计制造类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机械制造与自动化</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r w:rsidR="00EE334C" w:rsidRPr="009276D7" w:rsidTr="00A678E9">
        <w:trPr>
          <w:trHeight w:val="720"/>
          <w:jc w:val="center"/>
        </w:trPr>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rPr>
                <w:rFonts w:asciiTheme="minorEastAsia" w:hAnsiTheme="minorEastAsia" w:cs="Times New Roman"/>
                <w:szCs w:val="22"/>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21</w:t>
            </w:r>
          </w:p>
        </w:tc>
        <w:tc>
          <w:tcPr>
            <w:tcW w:w="25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食品药品与粮食大类</w:t>
            </w: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食品药品管理类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食品药品监督管理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 xml:space="preserve">　</w:t>
            </w:r>
          </w:p>
        </w:tc>
      </w:tr>
      <w:tr w:rsidR="00EE334C" w:rsidRPr="009276D7" w:rsidTr="00A678E9">
        <w:trPr>
          <w:trHeight w:val="720"/>
          <w:jc w:val="center"/>
        </w:trPr>
        <w:tc>
          <w:tcPr>
            <w:tcW w:w="714" w:type="dxa"/>
            <w:tcBorders>
              <w:top w:val="single" w:sz="4" w:space="0" w:color="auto"/>
              <w:left w:val="single" w:sz="4" w:space="0" w:color="auto"/>
              <w:bottom w:val="single" w:sz="4" w:space="0" w:color="auto"/>
              <w:right w:val="single" w:sz="4" w:space="0" w:color="auto"/>
            </w:tcBorders>
            <w:shd w:val="clear" w:color="auto" w:fill="auto"/>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22</w:t>
            </w:r>
          </w:p>
        </w:tc>
        <w:tc>
          <w:tcPr>
            <w:tcW w:w="2514"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旅游大类</w:t>
            </w:r>
          </w:p>
        </w:tc>
        <w:tc>
          <w:tcPr>
            <w:tcW w:w="184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旅游类</w:t>
            </w:r>
          </w:p>
        </w:tc>
        <w:tc>
          <w:tcPr>
            <w:tcW w:w="235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sidRPr="009276D7">
              <w:rPr>
                <w:rFonts w:asciiTheme="minorEastAsia" w:hAnsiTheme="minorEastAsia" w:cs="仿宋_GB2312" w:hint="eastAsia"/>
                <w:color w:val="000000"/>
                <w:kern w:val="0"/>
                <w:sz w:val="24"/>
              </w:rPr>
              <w:t>旅游管理</w:t>
            </w:r>
          </w:p>
        </w:tc>
        <w:tc>
          <w:tcPr>
            <w:tcW w:w="1120"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widowControl/>
              <w:adjustRightInd w:val="0"/>
              <w:snapToGrid w:val="0"/>
              <w:spacing w:line="360" w:lineRule="exact"/>
              <w:jc w:val="center"/>
              <w:rPr>
                <w:rFonts w:asciiTheme="minorEastAsia" w:hAnsiTheme="minorEastAsia" w:cs="仿宋_GB2312"/>
                <w:color w:val="000000"/>
                <w:kern w:val="0"/>
                <w:sz w:val="24"/>
              </w:rPr>
            </w:pPr>
          </w:p>
        </w:tc>
      </w:tr>
    </w:tbl>
    <w:p w:rsidR="00EE334C" w:rsidRPr="009276D7" w:rsidRDefault="00EE334C" w:rsidP="00EE334C">
      <w:pPr>
        <w:rPr>
          <w:rFonts w:asciiTheme="minorEastAsia" w:hAnsiTheme="minorEastAsia" w:cs="宋体"/>
          <w:sz w:val="32"/>
          <w:szCs w:val="32"/>
        </w:rPr>
        <w:sectPr w:rsidR="00EE334C" w:rsidRPr="009276D7" w:rsidSect="00150DAC">
          <w:footerReference w:type="default" r:id="rId6"/>
          <w:pgSz w:w="11906" w:h="16838"/>
          <w:pgMar w:top="1418" w:right="1418" w:bottom="1418" w:left="1418" w:header="851" w:footer="992" w:gutter="0"/>
          <w:pgNumType w:fmt="numberInDash"/>
          <w:cols w:space="0"/>
          <w:titlePg/>
          <w:docGrid w:type="lines" w:linePitch="312"/>
        </w:sectPr>
      </w:pPr>
    </w:p>
    <w:tbl>
      <w:tblPr>
        <w:tblpPr w:leftFromText="180" w:rightFromText="180" w:horzAnchor="margin" w:tblpXSpec="center" w:tblpY="2985"/>
        <w:tblW w:w="13872" w:type="dxa"/>
        <w:jc w:val="center"/>
        <w:tblLayout w:type="fixed"/>
        <w:tblLook w:val="04A0"/>
      </w:tblPr>
      <w:tblGrid>
        <w:gridCol w:w="1809"/>
        <w:gridCol w:w="2552"/>
        <w:gridCol w:w="2576"/>
        <w:gridCol w:w="2125"/>
        <w:gridCol w:w="1422"/>
        <w:gridCol w:w="1009"/>
        <w:gridCol w:w="2379"/>
      </w:tblGrid>
      <w:tr w:rsidR="00EE334C" w:rsidRPr="009276D7" w:rsidTr="00A678E9">
        <w:trPr>
          <w:trHeight w:val="521"/>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Default="00EE334C" w:rsidP="00A678E9">
            <w:pPr>
              <w:spacing w:line="360" w:lineRule="auto"/>
              <w:ind w:leftChars="-96" w:left="-202" w:firstLineChars="83" w:firstLine="200"/>
              <w:jc w:val="center"/>
              <w:rPr>
                <w:rFonts w:asciiTheme="minorEastAsia" w:hAnsiTheme="minorEastAsia"/>
                <w:b/>
                <w:sz w:val="24"/>
              </w:rPr>
            </w:pPr>
            <w:r w:rsidRPr="0067693C">
              <w:rPr>
                <w:rFonts w:asciiTheme="minorEastAsia" w:hAnsiTheme="minorEastAsia" w:cs="宋体" w:hint="eastAsia"/>
                <w:b/>
                <w:sz w:val="24"/>
              </w:rPr>
              <w:lastRenderedPageBreak/>
              <w:t>专业名称</w:t>
            </w:r>
          </w:p>
        </w:tc>
        <w:tc>
          <w:tcPr>
            <w:tcW w:w="2552"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spacing w:line="360" w:lineRule="auto"/>
              <w:ind w:leftChars="-239" w:left="-502"/>
              <w:jc w:val="center"/>
              <w:rPr>
                <w:rFonts w:asciiTheme="minorEastAsia" w:hAnsiTheme="minorEastAsia"/>
                <w:b/>
                <w:sz w:val="24"/>
              </w:rPr>
            </w:pPr>
            <w:r w:rsidRPr="0067693C">
              <w:rPr>
                <w:rFonts w:asciiTheme="minorEastAsia" w:hAnsiTheme="minorEastAsia" w:cs="宋体" w:hint="eastAsia"/>
                <w:b/>
                <w:sz w:val="24"/>
              </w:rPr>
              <w:t>统考课程</w:t>
            </w:r>
            <w:r w:rsidRPr="0067693C">
              <w:rPr>
                <w:rFonts w:asciiTheme="minorEastAsia" w:hAnsiTheme="minorEastAsia" w:cs="Calibri"/>
                <w:b/>
                <w:sz w:val="24"/>
              </w:rPr>
              <w:t>1</w:t>
            </w:r>
          </w:p>
        </w:tc>
        <w:tc>
          <w:tcPr>
            <w:tcW w:w="257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spacing w:line="360" w:lineRule="auto"/>
              <w:jc w:val="center"/>
              <w:rPr>
                <w:rFonts w:asciiTheme="minorEastAsia" w:hAnsiTheme="minorEastAsia"/>
                <w:b/>
                <w:sz w:val="24"/>
              </w:rPr>
            </w:pPr>
            <w:r w:rsidRPr="0067693C">
              <w:rPr>
                <w:rFonts w:asciiTheme="minorEastAsia" w:hAnsiTheme="minorEastAsia" w:cs="宋体" w:hint="eastAsia"/>
                <w:b/>
                <w:sz w:val="24"/>
              </w:rPr>
              <w:t>统考课程</w:t>
            </w:r>
            <w:r w:rsidRPr="0067693C">
              <w:rPr>
                <w:rFonts w:asciiTheme="minorEastAsia" w:hAnsiTheme="minorEastAsia" w:cs="Calibri"/>
                <w:b/>
                <w:sz w:val="24"/>
              </w:rPr>
              <w:t>2</w:t>
            </w:r>
          </w:p>
        </w:tc>
        <w:tc>
          <w:tcPr>
            <w:tcW w:w="2125"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spacing w:line="360" w:lineRule="auto"/>
              <w:jc w:val="center"/>
              <w:rPr>
                <w:rFonts w:asciiTheme="minorEastAsia" w:hAnsiTheme="minorEastAsia"/>
                <w:b/>
                <w:sz w:val="24"/>
              </w:rPr>
            </w:pPr>
            <w:r w:rsidRPr="0067693C">
              <w:rPr>
                <w:rFonts w:asciiTheme="minorEastAsia" w:hAnsiTheme="minorEastAsia" w:cs="宋体" w:hint="eastAsia"/>
                <w:b/>
                <w:sz w:val="24"/>
              </w:rPr>
              <w:t>统考课程</w:t>
            </w:r>
            <w:r w:rsidRPr="0067693C">
              <w:rPr>
                <w:rFonts w:asciiTheme="minorEastAsia" w:hAnsiTheme="minorEastAsia" w:cs="Calibri"/>
                <w:b/>
                <w:sz w:val="24"/>
              </w:rPr>
              <w:t>3</w:t>
            </w:r>
          </w:p>
        </w:tc>
        <w:tc>
          <w:tcPr>
            <w:tcW w:w="2431" w:type="dxa"/>
            <w:gridSpan w:val="2"/>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spacing w:line="360" w:lineRule="auto"/>
              <w:ind w:leftChars="-51" w:left="-107"/>
              <w:jc w:val="center"/>
              <w:rPr>
                <w:rFonts w:asciiTheme="minorEastAsia" w:hAnsiTheme="minorEastAsia"/>
                <w:b/>
                <w:sz w:val="24"/>
              </w:rPr>
            </w:pPr>
            <w:r w:rsidRPr="0067693C">
              <w:rPr>
                <w:rFonts w:asciiTheme="minorEastAsia" w:hAnsiTheme="minorEastAsia" w:cs="宋体" w:hint="eastAsia"/>
                <w:b/>
                <w:sz w:val="24"/>
              </w:rPr>
              <w:t>统考课程</w:t>
            </w:r>
            <w:r w:rsidRPr="0067693C">
              <w:rPr>
                <w:rFonts w:asciiTheme="minorEastAsia" w:hAnsiTheme="minorEastAsia" w:cs="Calibri"/>
                <w:b/>
                <w:sz w:val="24"/>
              </w:rPr>
              <w:t>4</w:t>
            </w:r>
          </w:p>
        </w:tc>
        <w:tc>
          <w:tcPr>
            <w:tcW w:w="237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spacing w:line="360" w:lineRule="auto"/>
              <w:jc w:val="center"/>
              <w:rPr>
                <w:rFonts w:asciiTheme="minorEastAsia" w:hAnsiTheme="minorEastAsia"/>
                <w:b/>
                <w:sz w:val="24"/>
              </w:rPr>
            </w:pPr>
            <w:r w:rsidRPr="0067693C">
              <w:rPr>
                <w:rFonts w:asciiTheme="minorEastAsia" w:hAnsiTheme="minorEastAsia" w:cs="宋体" w:hint="eastAsia"/>
                <w:b/>
                <w:sz w:val="24"/>
              </w:rPr>
              <w:t>统考课程</w:t>
            </w:r>
            <w:r w:rsidRPr="0067693C">
              <w:rPr>
                <w:rFonts w:asciiTheme="minorEastAsia" w:hAnsiTheme="minorEastAsia" w:cs="Calibri"/>
                <w:b/>
                <w:sz w:val="24"/>
              </w:rPr>
              <w:t>5</w:t>
            </w:r>
          </w:p>
        </w:tc>
      </w:tr>
      <w:tr w:rsidR="00EE334C" w:rsidRPr="009276D7" w:rsidTr="00A678E9">
        <w:trPr>
          <w:trHeight w:val="58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会计学</w:t>
            </w:r>
          </w:p>
        </w:tc>
        <w:tc>
          <w:tcPr>
            <w:tcW w:w="2552"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马克思主义基本原理</w:t>
            </w:r>
          </w:p>
        </w:tc>
        <w:tc>
          <w:tcPr>
            <w:tcW w:w="2576"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大学计算机应用基础</w:t>
            </w:r>
          </w:p>
        </w:tc>
        <w:tc>
          <w:tcPr>
            <w:tcW w:w="212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中级会计实务</w:t>
            </w:r>
          </w:p>
        </w:tc>
        <w:tc>
          <w:tcPr>
            <w:tcW w:w="2431" w:type="dxa"/>
            <w:gridSpan w:val="2"/>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企业财务报表分析</w:t>
            </w:r>
          </w:p>
        </w:tc>
        <w:tc>
          <w:tcPr>
            <w:tcW w:w="237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内部控制</w:t>
            </w:r>
          </w:p>
        </w:tc>
      </w:tr>
      <w:tr w:rsidR="00EE334C" w:rsidRPr="009276D7" w:rsidTr="00A678E9">
        <w:trPr>
          <w:trHeight w:val="58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电子商务</w:t>
            </w:r>
          </w:p>
        </w:tc>
        <w:tc>
          <w:tcPr>
            <w:tcW w:w="2552"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马克思主义基本原理</w:t>
            </w:r>
          </w:p>
        </w:tc>
        <w:tc>
          <w:tcPr>
            <w:tcW w:w="2576"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大学计算机应用基础</w:t>
            </w:r>
          </w:p>
        </w:tc>
        <w:tc>
          <w:tcPr>
            <w:tcW w:w="212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电子商务概论</w:t>
            </w:r>
          </w:p>
        </w:tc>
        <w:tc>
          <w:tcPr>
            <w:tcW w:w="2431" w:type="dxa"/>
            <w:gridSpan w:val="2"/>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网络营销与策划</w:t>
            </w:r>
          </w:p>
        </w:tc>
        <w:tc>
          <w:tcPr>
            <w:tcW w:w="237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电子商务与现代物流</w:t>
            </w:r>
          </w:p>
        </w:tc>
      </w:tr>
      <w:tr w:rsidR="00EE334C" w:rsidRPr="009276D7" w:rsidTr="00A678E9">
        <w:trPr>
          <w:trHeight w:val="58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学前教育</w:t>
            </w:r>
          </w:p>
        </w:tc>
        <w:tc>
          <w:tcPr>
            <w:tcW w:w="2552"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马克思主义基本原理</w:t>
            </w:r>
          </w:p>
        </w:tc>
        <w:tc>
          <w:tcPr>
            <w:tcW w:w="2576"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大学计算机应用基础</w:t>
            </w:r>
          </w:p>
        </w:tc>
        <w:tc>
          <w:tcPr>
            <w:tcW w:w="212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学前教育原理</w:t>
            </w:r>
          </w:p>
        </w:tc>
        <w:tc>
          <w:tcPr>
            <w:tcW w:w="2431" w:type="dxa"/>
            <w:gridSpan w:val="2"/>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学前教育心理学</w:t>
            </w:r>
          </w:p>
        </w:tc>
        <w:tc>
          <w:tcPr>
            <w:tcW w:w="237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学前儿童家庭教育</w:t>
            </w:r>
          </w:p>
        </w:tc>
      </w:tr>
      <w:tr w:rsidR="00EE334C" w:rsidRPr="009276D7" w:rsidTr="00A678E9">
        <w:trPr>
          <w:trHeight w:val="589"/>
          <w:jc w:val="center"/>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艺术设计学</w:t>
            </w:r>
          </w:p>
        </w:tc>
        <w:tc>
          <w:tcPr>
            <w:tcW w:w="2552"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马克思主义基本原理</w:t>
            </w:r>
          </w:p>
        </w:tc>
        <w:tc>
          <w:tcPr>
            <w:tcW w:w="2576"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sz w:val="24"/>
              </w:rPr>
            </w:pPr>
            <w:r w:rsidRPr="009276D7">
              <w:rPr>
                <w:rFonts w:asciiTheme="minorEastAsia" w:hAnsiTheme="minorEastAsia" w:cs="宋体" w:hint="eastAsia"/>
                <w:sz w:val="24"/>
              </w:rPr>
              <w:t>大学计算机应用基础</w:t>
            </w:r>
          </w:p>
        </w:tc>
        <w:tc>
          <w:tcPr>
            <w:tcW w:w="2125"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设计概论</w:t>
            </w:r>
          </w:p>
        </w:tc>
        <w:tc>
          <w:tcPr>
            <w:tcW w:w="2431" w:type="dxa"/>
            <w:gridSpan w:val="2"/>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公共环境艺术设计</w:t>
            </w:r>
          </w:p>
        </w:tc>
        <w:tc>
          <w:tcPr>
            <w:tcW w:w="2379" w:type="dxa"/>
            <w:tcBorders>
              <w:top w:val="single" w:sz="4" w:space="0" w:color="auto"/>
              <w:left w:val="nil"/>
              <w:bottom w:val="single" w:sz="4" w:space="0" w:color="auto"/>
              <w:right w:val="single" w:sz="4" w:space="0" w:color="auto"/>
            </w:tcBorders>
            <w:shd w:val="clear" w:color="auto" w:fill="auto"/>
            <w:vAlign w:val="center"/>
          </w:tcPr>
          <w:p w:rsidR="00EE334C" w:rsidRPr="009276D7" w:rsidRDefault="00EE334C" w:rsidP="00A678E9">
            <w:pPr>
              <w:spacing w:line="360" w:lineRule="auto"/>
              <w:jc w:val="center"/>
              <w:rPr>
                <w:rFonts w:asciiTheme="minorEastAsia" w:hAnsiTheme="minorEastAsia" w:cs="宋体"/>
                <w:sz w:val="24"/>
              </w:rPr>
            </w:pPr>
            <w:r w:rsidRPr="009276D7">
              <w:rPr>
                <w:rFonts w:asciiTheme="minorEastAsia" w:hAnsiTheme="minorEastAsia" w:cs="宋体" w:hint="eastAsia"/>
                <w:sz w:val="24"/>
              </w:rPr>
              <w:t>室内环境艺术设计</w:t>
            </w:r>
          </w:p>
        </w:tc>
      </w:tr>
      <w:tr w:rsidR="00EE334C" w:rsidRPr="009276D7" w:rsidTr="00A678E9">
        <w:trPr>
          <w:gridAfter w:val="2"/>
          <w:wAfter w:w="3388" w:type="dxa"/>
          <w:trHeight w:val="402"/>
          <w:jc w:val="center"/>
        </w:trPr>
        <w:tc>
          <w:tcPr>
            <w:tcW w:w="10484" w:type="dxa"/>
            <w:gridSpan w:val="5"/>
            <w:shd w:val="clear" w:color="auto" w:fill="auto"/>
          </w:tcPr>
          <w:p w:rsidR="00EE334C" w:rsidRPr="009276D7" w:rsidRDefault="00EE334C" w:rsidP="00A678E9">
            <w:pPr>
              <w:jc w:val="left"/>
              <w:rPr>
                <w:rFonts w:asciiTheme="minorEastAsia" w:hAnsiTheme="minorEastAsia"/>
                <w:sz w:val="24"/>
              </w:rPr>
            </w:pPr>
            <w:r w:rsidRPr="009276D7">
              <w:rPr>
                <w:rFonts w:asciiTheme="minorEastAsia" w:hAnsiTheme="minorEastAsia" w:cs="宋体" w:hint="eastAsia"/>
                <w:sz w:val="32"/>
                <w:szCs w:val="32"/>
              </w:rPr>
              <w:t> </w:t>
            </w:r>
          </w:p>
          <w:p w:rsidR="00EE334C" w:rsidRPr="009276D7" w:rsidRDefault="00EE334C" w:rsidP="00A678E9">
            <w:pPr>
              <w:ind w:firstLineChars="50" w:firstLine="120"/>
              <w:rPr>
                <w:rFonts w:asciiTheme="minorEastAsia" w:hAnsiTheme="minorEastAsia"/>
                <w:sz w:val="24"/>
              </w:rPr>
            </w:pPr>
            <w:r w:rsidRPr="009276D7">
              <w:rPr>
                <w:rFonts w:asciiTheme="minorEastAsia" w:hAnsiTheme="minorEastAsia" w:cs="宋体" w:hint="eastAsia"/>
                <w:sz w:val="24"/>
              </w:rPr>
              <w:t>注：</w:t>
            </w:r>
            <w:r w:rsidRPr="009276D7">
              <w:rPr>
                <w:rFonts w:asciiTheme="minorEastAsia" w:hAnsiTheme="minorEastAsia" w:cs="Calibri"/>
                <w:sz w:val="24"/>
              </w:rPr>
              <w:t>1.</w:t>
            </w:r>
            <w:r w:rsidRPr="009276D7">
              <w:rPr>
                <w:rFonts w:asciiTheme="minorEastAsia" w:hAnsiTheme="minorEastAsia" w:cs="宋体" w:hint="eastAsia"/>
                <w:sz w:val="24"/>
              </w:rPr>
              <w:t>统考课程形成性考核比例均为</w:t>
            </w:r>
            <w:r w:rsidRPr="009276D7">
              <w:rPr>
                <w:rFonts w:asciiTheme="minorEastAsia" w:hAnsiTheme="minorEastAsia" w:cs="Calibri"/>
                <w:sz w:val="24"/>
              </w:rPr>
              <w:t>30%</w:t>
            </w:r>
            <w:r w:rsidRPr="009276D7">
              <w:rPr>
                <w:rFonts w:asciiTheme="minorEastAsia" w:hAnsiTheme="minorEastAsia" w:cs="宋体" w:hint="eastAsia"/>
                <w:sz w:val="24"/>
              </w:rPr>
              <w:t>；</w:t>
            </w:r>
          </w:p>
          <w:p w:rsidR="00EE334C" w:rsidRPr="009276D7" w:rsidRDefault="00EE334C" w:rsidP="00A678E9">
            <w:pPr>
              <w:ind w:firstLineChars="50" w:firstLine="120"/>
              <w:rPr>
                <w:rFonts w:asciiTheme="minorEastAsia" w:hAnsiTheme="minorEastAsia" w:cs="仿宋_GB2312"/>
                <w:sz w:val="32"/>
                <w:szCs w:val="32"/>
              </w:rPr>
            </w:pPr>
            <w:r w:rsidRPr="009276D7">
              <w:rPr>
                <w:rFonts w:asciiTheme="minorEastAsia" w:hAnsiTheme="minorEastAsia" w:cs="Times New Roman"/>
                <w:sz w:val="24"/>
              </w:rPr>
              <w:t xml:space="preserve">    2</w:t>
            </w:r>
            <w:r w:rsidRPr="009276D7">
              <w:rPr>
                <w:rFonts w:asciiTheme="minorEastAsia" w:hAnsiTheme="minorEastAsia" w:cs="Times New Roman" w:hint="eastAsia"/>
                <w:sz w:val="24"/>
              </w:rPr>
              <w:t>.</w:t>
            </w:r>
            <w:r w:rsidRPr="009276D7">
              <w:rPr>
                <w:rFonts w:asciiTheme="minorEastAsia" w:hAnsiTheme="minorEastAsia" w:cs="宋体" w:hint="eastAsia"/>
                <w:sz w:val="24"/>
              </w:rPr>
              <w:t>统考课程</w:t>
            </w:r>
            <w:r w:rsidRPr="009276D7">
              <w:rPr>
                <w:rFonts w:asciiTheme="minorEastAsia" w:hAnsiTheme="minorEastAsia" w:cs="Calibri"/>
                <w:sz w:val="24"/>
              </w:rPr>
              <w:t>3</w:t>
            </w:r>
            <w:r w:rsidRPr="009276D7">
              <w:rPr>
                <w:rFonts w:asciiTheme="minorEastAsia" w:hAnsiTheme="minorEastAsia" w:cs="宋体" w:hint="eastAsia"/>
                <w:sz w:val="24"/>
              </w:rPr>
              <w:t>、</w:t>
            </w:r>
            <w:r w:rsidRPr="009276D7">
              <w:rPr>
                <w:rFonts w:asciiTheme="minorEastAsia" w:hAnsiTheme="minorEastAsia" w:cs="Calibri"/>
                <w:sz w:val="24"/>
              </w:rPr>
              <w:t>4</w:t>
            </w:r>
            <w:r w:rsidRPr="009276D7">
              <w:rPr>
                <w:rFonts w:asciiTheme="minorEastAsia" w:hAnsiTheme="minorEastAsia" w:cs="宋体" w:hint="eastAsia"/>
                <w:sz w:val="24"/>
              </w:rPr>
              <w:t>、</w:t>
            </w:r>
            <w:r w:rsidRPr="009276D7">
              <w:rPr>
                <w:rFonts w:asciiTheme="minorEastAsia" w:hAnsiTheme="minorEastAsia" w:cs="Calibri"/>
                <w:sz w:val="24"/>
              </w:rPr>
              <w:t>5</w:t>
            </w:r>
            <w:r w:rsidRPr="009276D7">
              <w:rPr>
                <w:rFonts w:asciiTheme="minorEastAsia" w:hAnsiTheme="minorEastAsia" w:cs="宋体" w:hint="eastAsia"/>
                <w:sz w:val="24"/>
              </w:rPr>
              <w:t>为学位课。</w:t>
            </w:r>
          </w:p>
          <w:p w:rsidR="00EE334C" w:rsidRPr="009276D7" w:rsidRDefault="00EE334C" w:rsidP="00A678E9">
            <w:pPr>
              <w:adjustRightInd w:val="0"/>
              <w:snapToGrid w:val="0"/>
              <w:spacing w:line="480" w:lineRule="exact"/>
              <w:jc w:val="center"/>
              <w:rPr>
                <w:rFonts w:asciiTheme="minorEastAsia" w:hAnsiTheme="minorEastAsia" w:cs="仿宋_GB2312"/>
                <w:sz w:val="36"/>
                <w:szCs w:val="36"/>
              </w:rPr>
            </w:pPr>
          </w:p>
        </w:tc>
      </w:tr>
    </w:tbl>
    <w:p w:rsidR="00EE334C" w:rsidRPr="00BF635C" w:rsidRDefault="00EE334C" w:rsidP="00EE334C">
      <w:pPr>
        <w:jc w:val="left"/>
        <w:rPr>
          <w:rFonts w:ascii="黑体" w:eastAsia="黑体" w:hAnsiTheme="minorEastAsia" w:cs="黑体"/>
          <w:sz w:val="32"/>
          <w:szCs w:val="32"/>
        </w:rPr>
      </w:pPr>
      <w:r w:rsidRPr="0067693C">
        <w:rPr>
          <w:rFonts w:ascii="黑体" w:eastAsia="黑体" w:hAnsiTheme="minorEastAsia" w:cs="方正黑体_GBK" w:hint="eastAsia"/>
          <w:sz w:val="32"/>
          <w:szCs w:val="32"/>
        </w:rPr>
        <w:t>附件</w:t>
      </w:r>
      <w:r w:rsidRPr="0067693C">
        <w:rPr>
          <w:rFonts w:ascii="黑体" w:eastAsia="黑体" w:hAnsiTheme="minorEastAsia" w:cs="方正黑体_GBK"/>
          <w:sz w:val="32"/>
          <w:szCs w:val="32"/>
        </w:rPr>
        <w:t>2</w:t>
      </w:r>
      <w:r w:rsidRPr="0067693C">
        <w:rPr>
          <w:rFonts w:ascii="黑体" w:eastAsia="黑体" w:hAnsiTheme="minorEastAsia" w:cs="黑体"/>
          <w:sz w:val="32"/>
          <w:szCs w:val="32"/>
        </w:rPr>
        <w:t xml:space="preserve"> </w:t>
      </w:r>
    </w:p>
    <w:p w:rsidR="00EE334C" w:rsidRPr="00BF635C" w:rsidRDefault="00EE334C" w:rsidP="00EE334C">
      <w:pPr>
        <w:widowControl/>
        <w:adjustRightInd w:val="0"/>
        <w:snapToGrid w:val="0"/>
        <w:spacing w:line="600" w:lineRule="exact"/>
        <w:jc w:val="center"/>
        <w:rPr>
          <w:rFonts w:ascii="方正小标宋简体" w:eastAsia="方正小标宋简体" w:hAnsiTheme="minorEastAsia" w:cs="方正小标宋_GBK"/>
          <w:color w:val="000000"/>
          <w:kern w:val="0"/>
          <w:sz w:val="36"/>
          <w:szCs w:val="36"/>
        </w:rPr>
      </w:pPr>
      <w:r w:rsidRPr="0067693C">
        <w:rPr>
          <w:rFonts w:ascii="方正小标宋简体" w:eastAsia="方正小标宋简体" w:hAnsiTheme="minorEastAsia" w:cs="方正小标宋_GBK" w:hint="eastAsia"/>
          <w:color w:val="000000"/>
          <w:kern w:val="0"/>
          <w:sz w:val="36"/>
          <w:szCs w:val="36"/>
        </w:rPr>
        <w:t>浙江广播电视大学</w:t>
      </w:r>
    </w:p>
    <w:p w:rsidR="00EE334C" w:rsidRPr="00BF635C" w:rsidRDefault="00EE334C" w:rsidP="00EE334C">
      <w:pPr>
        <w:widowControl/>
        <w:adjustRightInd w:val="0"/>
        <w:snapToGrid w:val="0"/>
        <w:spacing w:line="600" w:lineRule="exact"/>
        <w:jc w:val="center"/>
        <w:rPr>
          <w:rFonts w:ascii="方正小标宋简体" w:eastAsia="方正小标宋简体" w:hAnsiTheme="minorEastAsia" w:cs="方正小标宋_GBK"/>
          <w:color w:val="000000"/>
          <w:kern w:val="0"/>
          <w:sz w:val="36"/>
          <w:szCs w:val="36"/>
        </w:rPr>
      </w:pPr>
      <w:r w:rsidRPr="0067693C">
        <w:rPr>
          <w:rFonts w:ascii="方正小标宋简体" w:eastAsia="方正小标宋简体" w:hAnsiTheme="minorEastAsia" w:cs="方正小标宋_GBK" w:hint="eastAsia"/>
          <w:color w:val="000000"/>
          <w:kern w:val="0"/>
          <w:sz w:val="36"/>
          <w:szCs w:val="36"/>
        </w:rPr>
        <w:t>成人高等教育本科统考课程一览表</w:t>
      </w:r>
    </w:p>
    <w:p w:rsidR="00EE334C" w:rsidRPr="009276D7" w:rsidRDefault="00EE334C" w:rsidP="00EE334C">
      <w:pPr>
        <w:rPr>
          <w:rFonts w:asciiTheme="minorEastAsia" w:hAnsiTheme="minorEastAsia" w:cs="Times New Roman"/>
          <w:color w:val="000000"/>
          <w:sz w:val="36"/>
          <w:szCs w:val="36"/>
        </w:rPr>
        <w:sectPr w:rsidR="00EE334C" w:rsidRPr="009276D7">
          <w:pgSz w:w="16838" w:h="11906" w:orient="landscape"/>
          <w:pgMar w:top="1418" w:right="1418" w:bottom="1418" w:left="1418" w:header="720" w:footer="720" w:gutter="0"/>
          <w:pgNumType w:fmt="numberInDash"/>
          <w:cols w:space="0"/>
          <w:docGrid w:type="lines" w:linePitch="312"/>
        </w:sectPr>
      </w:pPr>
    </w:p>
    <w:tbl>
      <w:tblPr>
        <w:tblW w:w="9793" w:type="dxa"/>
        <w:tblInd w:w="-192" w:type="dxa"/>
        <w:tblLayout w:type="fixed"/>
        <w:tblLook w:val="04A0"/>
      </w:tblPr>
      <w:tblGrid>
        <w:gridCol w:w="726"/>
        <w:gridCol w:w="2409"/>
        <w:gridCol w:w="2694"/>
        <w:gridCol w:w="1701"/>
        <w:gridCol w:w="1417"/>
        <w:gridCol w:w="846"/>
      </w:tblGrid>
      <w:tr w:rsidR="00EE334C" w:rsidRPr="009276D7" w:rsidTr="00A678E9">
        <w:trPr>
          <w:trHeight w:val="1843"/>
        </w:trPr>
        <w:tc>
          <w:tcPr>
            <w:tcW w:w="9793" w:type="dxa"/>
            <w:gridSpan w:val="6"/>
            <w:tcBorders>
              <w:top w:val="nil"/>
              <w:left w:val="nil"/>
              <w:bottom w:val="single" w:sz="4" w:space="0" w:color="auto"/>
              <w:right w:val="nil"/>
            </w:tcBorders>
            <w:shd w:val="clear" w:color="auto" w:fill="auto"/>
            <w:vAlign w:val="center"/>
          </w:tcPr>
          <w:p w:rsidR="00EE334C" w:rsidRPr="00BF635C" w:rsidRDefault="00EE334C" w:rsidP="00A678E9">
            <w:pPr>
              <w:adjustRightInd w:val="0"/>
              <w:snapToGrid w:val="0"/>
              <w:spacing w:line="400" w:lineRule="exact"/>
              <w:jc w:val="left"/>
              <w:rPr>
                <w:rFonts w:ascii="黑体" w:eastAsia="黑体" w:hAnsiTheme="minorEastAsia" w:cs="方正黑体_GBK"/>
                <w:sz w:val="32"/>
                <w:szCs w:val="32"/>
              </w:rPr>
            </w:pPr>
            <w:r w:rsidRPr="0067693C">
              <w:rPr>
                <w:rFonts w:ascii="黑体" w:eastAsia="黑体" w:hAnsiTheme="minorEastAsia" w:cs="方正黑体_GBK" w:hint="eastAsia"/>
                <w:sz w:val="32"/>
                <w:szCs w:val="32"/>
              </w:rPr>
              <w:lastRenderedPageBreak/>
              <w:t>附件</w:t>
            </w:r>
            <w:r w:rsidRPr="0067693C">
              <w:rPr>
                <w:rFonts w:ascii="黑体" w:eastAsia="黑体" w:hAnsiTheme="minorEastAsia" w:cs="方正黑体_GBK"/>
                <w:sz w:val="32"/>
                <w:szCs w:val="32"/>
              </w:rPr>
              <w:t>3</w:t>
            </w:r>
          </w:p>
          <w:p w:rsidR="00EE334C" w:rsidRPr="00BF635C" w:rsidRDefault="00EE334C" w:rsidP="00A678E9">
            <w:pPr>
              <w:adjustRightInd w:val="0"/>
              <w:snapToGrid w:val="0"/>
              <w:spacing w:line="600" w:lineRule="exact"/>
              <w:jc w:val="center"/>
              <w:rPr>
                <w:rFonts w:ascii="方正小标宋简体" w:eastAsia="方正小标宋简体" w:hAnsiTheme="minorEastAsia" w:cs="方正小标宋_GBK"/>
                <w:sz w:val="36"/>
                <w:szCs w:val="36"/>
              </w:rPr>
            </w:pPr>
            <w:r w:rsidRPr="0067693C">
              <w:rPr>
                <w:rFonts w:ascii="方正小标宋简体" w:eastAsia="方正小标宋简体" w:hAnsiTheme="minorEastAsia" w:cs="方正小标宋_GBK" w:hint="eastAsia"/>
                <w:color w:val="000000"/>
                <w:kern w:val="0"/>
                <w:sz w:val="36"/>
                <w:szCs w:val="36"/>
              </w:rPr>
              <w:t>浙江广播电视大学</w:t>
            </w:r>
          </w:p>
          <w:p w:rsidR="00EE334C" w:rsidRPr="00BF635C" w:rsidRDefault="00EE334C" w:rsidP="00A678E9">
            <w:pPr>
              <w:adjustRightInd w:val="0"/>
              <w:snapToGrid w:val="0"/>
              <w:spacing w:line="600" w:lineRule="exact"/>
              <w:jc w:val="center"/>
              <w:rPr>
                <w:rFonts w:ascii="方正小标宋简体" w:eastAsia="方正小标宋简体" w:hAnsiTheme="minorEastAsia" w:cs="方正小标宋_GBK"/>
                <w:color w:val="000000"/>
                <w:kern w:val="0"/>
                <w:sz w:val="36"/>
                <w:szCs w:val="36"/>
              </w:rPr>
            </w:pPr>
            <w:r w:rsidRPr="0067693C">
              <w:rPr>
                <w:rFonts w:ascii="方正小标宋简体" w:eastAsia="方正小标宋简体" w:hAnsiTheme="minorEastAsia" w:cs="方正小标宋_GBK" w:hint="eastAsia"/>
                <w:color w:val="000000"/>
                <w:kern w:val="0"/>
                <w:sz w:val="36"/>
                <w:szCs w:val="36"/>
              </w:rPr>
              <w:t>成人高等教育专科统考课程一览表</w:t>
            </w:r>
          </w:p>
          <w:p w:rsidR="00EE334C" w:rsidRPr="009276D7" w:rsidRDefault="00EE334C" w:rsidP="00A678E9">
            <w:pPr>
              <w:adjustRightInd w:val="0"/>
              <w:snapToGrid w:val="0"/>
              <w:spacing w:line="400" w:lineRule="exact"/>
              <w:jc w:val="center"/>
              <w:rPr>
                <w:rFonts w:asciiTheme="minorEastAsia" w:hAnsiTheme="minorEastAsia" w:cs="仿宋_GB2312"/>
                <w:sz w:val="32"/>
                <w:szCs w:val="32"/>
              </w:rPr>
            </w:pPr>
          </w:p>
        </w:tc>
      </w:tr>
      <w:tr w:rsidR="00EE334C" w:rsidRPr="00BF635C" w:rsidTr="00A678E9">
        <w:trPr>
          <w:trHeight w:val="402"/>
        </w:trPr>
        <w:tc>
          <w:tcPr>
            <w:tcW w:w="726" w:type="dxa"/>
            <w:vMerge w:val="restart"/>
            <w:tcBorders>
              <w:top w:val="nil"/>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序号</w:t>
            </w:r>
          </w:p>
        </w:tc>
        <w:tc>
          <w:tcPr>
            <w:tcW w:w="2409"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专业名称</w:t>
            </w:r>
          </w:p>
        </w:tc>
        <w:tc>
          <w:tcPr>
            <w:tcW w:w="2694"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统考课程</w:t>
            </w:r>
            <w:r w:rsidRPr="0067693C">
              <w:rPr>
                <w:rFonts w:asciiTheme="minorEastAsia" w:hAnsiTheme="minorEastAsia" w:cs="仿宋_GB2312"/>
                <w:b/>
                <w:sz w:val="24"/>
              </w:rPr>
              <w:t>1</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统考课程</w:t>
            </w:r>
            <w:r w:rsidRPr="0067693C">
              <w:rPr>
                <w:rFonts w:asciiTheme="minorEastAsia" w:hAnsiTheme="minorEastAsia" w:cs="仿宋_GB2312"/>
                <w:b/>
                <w:sz w:val="24"/>
              </w:rPr>
              <w:t>2</w:t>
            </w:r>
          </w:p>
        </w:tc>
        <w:tc>
          <w:tcPr>
            <w:tcW w:w="846" w:type="dxa"/>
            <w:vMerge w:val="restart"/>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备注</w:t>
            </w:r>
          </w:p>
        </w:tc>
      </w:tr>
      <w:tr w:rsidR="00EE334C" w:rsidRPr="00BF635C" w:rsidTr="00A678E9">
        <w:trPr>
          <w:trHeight w:val="750"/>
        </w:trPr>
        <w:tc>
          <w:tcPr>
            <w:tcW w:w="726" w:type="dxa"/>
            <w:vMerge/>
            <w:tcBorders>
              <w:top w:val="nil"/>
              <w:left w:val="single" w:sz="4" w:space="0" w:color="auto"/>
              <w:bottom w:val="single" w:sz="4" w:space="0" w:color="auto"/>
              <w:right w:val="single" w:sz="4" w:space="0" w:color="auto"/>
            </w:tcBorders>
            <w:shd w:val="clear" w:color="auto" w:fill="auto"/>
            <w:vAlign w:val="center"/>
          </w:tcPr>
          <w:p w:rsidR="00EE334C" w:rsidRPr="00BF635C" w:rsidRDefault="00EE334C" w:rsidP="00A678E9">
            <w:pPr>
              <w:rPr>
                <w:rFonts w:asciiTheme="minorEastAsia" w:hAnsiTheme="minorEastAsia" w:cs="Times New Roman"/>
                <w:b/>
                <w:sz w:val="24"/>
              </w:rPr>
            </w:pPr>
          </w:p>
        </w:tc>
        <w:tc>
          <w:tcPr>
            <w:tcW w:w="2409" w:type="dxa"/>
            <w:vMerge/>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rPr>
                <w:rFonts w:asciiTheme="minorEastAsia" w:hAnsiTheme="minorEastAsia" w:cs="Times New Roman"/>
                <w:b/>
                <w:sz w:val="24"/>
              </w:rPr>
            </w:pPr>
          </w:p>
        </w:tc>
        <w:tc>
          <w:tcPr>
            <w:tcW w:w="2694" w:type="dxa"/>
            <w:vMerge/>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rPr>
                <w:rFonts w:asciiTheme="minorEastAsia" w:hAnsiTheme="minorEastAsia" w:cs="Times New Roman"/>
                <w:b/>
                <w:sz w:val="24"/>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课程名称</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形成性</w:t>
            </w:r>
          </w:p>
          <w:p w:rsidR="00EE334C" w:rsidRPr="00BF635C" w:rsidRDefault="00EE334C" w:rsidP="00A678E9">
            <w:pPr>
              <w:adjustRightInd w:val="0"/>
              <w:snapToGrid w:val="0"/>
              <w:spacing w:line="400" w:lineRule="exact"/>
              <w:jc w:val="center"/>
              <w:rPr>
                <w:rFonts w:asciiTheme="minorEastAsia" w:hAnsiTheme="minorEastAsia" w:cs="仿宋_GB2312"/>
                <w:b/>
                <w:sz w:val="24"/>
              </w:rPr>
            </w:pPr>
            <w:r w:rsidRPr="0067693C">
              <w:rPr>
                <w:rFonts w:asciiTheme="minorEastAsia" w:hAnsiTheme="minorEastAsia" w:cs="仿宋_GB2312" w:hint="eastAsia"/>
                <w:b/>
                <w:sz w:val="24"/>
              </w:rPr>
              <w:t>考核比例</w:t>
            </w:r>
          </w:p>
        </w:tc>
        <w:tc>
          <w:tcPr>
            <w:tcW w:w="846" w:type="dxa"/>
            <w:vMerge/>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rPr>
                <w:rFonts w:asciiTheme="minorEastAsia" w:hAnsiTheme="minorEastAsia" w:cs="Times New Roman"/>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广告设计与制作</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视觉传播设计与制作</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3</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环境艺术设计</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4</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商务英语</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5</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学前教育</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6</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市场营销</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市场营销学</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30%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7</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汽车营销与服务</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8</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电子商务</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9</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工商企业管理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10</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物流管理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roofErr w:type="gramStart"/>
            <w:r w:rsidRPr="0067693C">
              <w:rPr>
                <w:rFonts w:asciiTheme="minorEastAsia" w:hAnsiTheme="minorEastAsia" w:cs="仿宋_GB2312" w:hint="eastAsia"/>
                <w:sz w:val="24"/>
              </w:rPr>
              <w:t>物流学</w:t>
            </w:r>
            <w:proofErr w:type="gramEnd"/>
            <w:r w:rsidRPr="0067693C">
              <w:rPr>
                <w:rFonts w:asciiTheme="minorEastAsia" w:hAnsiTheme="minorEastAsia" w:cs="仿宋_GB2312" w:hint="eastAsia"/>
                <w:sz w:val="24"/>
              </w:rPr>
              <w:t>概论</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30%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11</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会计</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基础会计</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50%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12</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金融管理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金融学概论</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30%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13</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国际经济与贸易</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国际贸易原理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14</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建筑工程技术</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建筑施工技术</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lastRenderedPageBreak/>
              <w:t>15</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建筑经济管理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建筑技术经济与管理</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16</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计算机网络技术</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组网与网络管理技术</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100%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17</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计算机信息管理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18</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机电一体化技术</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19</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电气自动化技术</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20</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机械制造与自动化</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color w:val="000000"/>
                <w:kern w:val="0"/>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21</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食品药品监督管理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无机化学</w:t>
            </w: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30%</w:t>
            </w: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color w:val="000000"/>
                <w:kern w:val="0"/>
                <w:sz w:val="24"/>
              </w:rPr>
            </w:pPr>
          </w:p>
        </w:tc>
      </w:tr>
      <w:tr w:rsidR="00EE334C" w:rsidRPr="00BF635C" w:rsidTr="00A678E9">
        <w:trPr>
          <w:trHeight w:val="640"/>
        </w:trPr>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sz w:val="24"/>
              </w:rPr>
              <w:t>22</w:t>
            </w:r>
          </w:p>
        </w:tc>
        <w:tc>
          <w:tcPr>
            <w:tcW w:w="2409"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widowControl/>
              <w:adjustRightInd w:val="0"/>
              <w:snapToGrid w:val="0"/>
              <w:spacing w:line="360" w:lineRule="exact"/>
              <w:jc w:val="center"/>
              <w:rPr>
                <w:rFonts w:asciiTheme="minorEastAsia" w:hAnsiTheme="minorEastAsia" w:cs="仿宋_GB2312"/>
                <w:color w:val="000000"/>
                <w:kern w:val="0"/>
                <w:sz w:val="24"/>
              </w:rPr>
            </w:pPr>
            <w:r>
              <w:rPr>
                <w:rFonts w:asciiTheme="minorEastAsia" w:hAnsiTheme="minorEastAsia" w:cs="仿宋_GB2312" w:hint="eastAsia"/>
                <w:color w:val="000000"/>
                <w:kern w:val="0"/>
                <w:sz w:val="24"/>
              </w:rPr>
              <w:t>旅游管理</w:t>
            </w:r>
          </w:p>
        </w:tc>
        <w:tc>
          <w:tcPr>
            <w:tcW w:w="2694"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r w:rsidRPr="0067693C">
              <w:rPr>
                <w:rFonts w:asciiTheme="minorEastAsia" w:hAnsiTheme="minorEastAsia" w:cs="仿宋_GB2312" w:hint="eastAsia"/>
                <w:sz w:val="24"/>
              </w:rPr>
              <w:t>大学信息技术应用基础</w:t>
            </w:r>
          </w:p>
        </w:tc>
        <w:tc>
          <w:tcPr>
            <w:tcW w:w="1701"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sz w:val="24"/>
              </w:rPr>
            </w:pPr>
          </w:p>
        </w:tc>
        <w:tc>
          <w:tcPr>
            <w:tcW w:w="846" w:type="dxa"/>
            <w:tcBorders>
              <w:top w:val="single" w:sz="4" w:space="0" w:color="auto"/>
              <w:left w:val="nil"/>
              <w:bottom w:val="single" w:sz="4" w:space="0" w:color="auto"/>
              <w:right w:val="single" w:sz="4" w:space="0" w:color="auto"/>
            </w:tcBorders>
            <w:shd w:val="clear" w:color="auto" w:fill="auto"/>
            <w:vAlign w:val="center"/>
          </w:tcPr>
          <w:p w:rsidR="00EE334C" w:rsidRPr="00BF635C" w:rsidRDefault="00EE334C" w:rsidP="00A678E9">
            <w:pPr>
              <w:adjustRightInd w:val="0"/>
              <w:snapToGrid w:val="0"/>
              <w:spacing w:line="320" w:lineRule="exact"/>
              <w:jc w:val="center"/>
              <w:rPr>
                <w:rFonts w:asciiTheme="minorEastAsia" w:hAnsiTheme="minorEastAsia" w:cs="仿宋_GB2312"/>
                <w:color w:val="000000"/>
                <w:kern w:val="0"/>
                <w:sz w:val="24"/>
              </w:rPr>
            </w:pPr>
          </w:p>
        </w:tc>
      </w:tr>
      <w:tr w:rsidR="00EE334C" w:rsidRPr="00BF635C" w:rsidTr="00A678E9">
        <w:trPr>
          <w:trHeight w:val="402"/>
        </w:trPr>
        <w:tc>
          <w:tcPr>
            <w:tcW w:w="9793" w:type="dxa"/>
            <w:gridSpan w:val="6"/>
            <w:tcBorders>
              <w:top w:val="single" w:sz="4" w:space="0" w:color="auto"/>
              <w:left w:val="nil"/>
              <w:bottom w:val="nil"/>
              <w:right w:val="nil"/>
            </w:tcBorders>
            <w:shd w:val="clear" w:color="auto" w:fill="auto"/>
          </w:tcPr>
          <w:p w:rsidR="00EE334C" w:rsidRPr="00BF635C" w:rsidRDefault="00EE334C" w:rsidP="00A678E9">
            <w:pPr>
              <w:adjustRightInd w:val="0"/>
              <w:snapToGrid w:val="0"/>
              <w:spacing w:line="400" w:lineRule="exact"/>
              <w:rPr>
                <w:rFonts w:asciiTheme="minorEastAsia" w:hAnsiTheme="minorEastAsia" w:cs="仿宋_GB2312"/>
                <w:sz w:val="24"/>
              </w:rPr>
            </w:pPr>
            <w:r w:rsidRPr="0067693C">
              <w:rPr>
                <w:rFonts w:asciiTheme="minorEastAsia" w:hAnsiTheme="minorEastAsia" w:cs="仿宋_GB2312" w:hint="eastAsia"/>
                <w:sz w:val="24"/>
              </w:rPr>
              <w:t>注：《大学信息技术应用基础》形成性考核比例为</w:t>
            </w:r>
            <w:r w:rsidRPr="0067693C">
              <w:rPr>
                <w:rFonts w:asciiTheme="minorEastAsia" w:hAnsiTheme="minorEastAsia" w:cs="仿宋_GB2312"/>
                <w:sz w:val="24"/>
              </w:rPr>
              <w:t>50%</w:t>
            </w:r>
          </w:p>
        </w:tc>
      </w:tr>
    </w:tbl>
    <w:p w:rsidR="00EE334C" w:rsidRPr="00BF635C" w:rsidRDefault="00EE334C" w:rsidP="00EE334C">
      <w:pPr>
        <w:adjustRightInd w:val="0"/>
        <w:snapToGrid w:val="0"/>
        <w:spacing w:line="480" w:lineRule="exact"/>
        <w:jc w:val="center"/>
        <w:rPr>
          <w:rFonts w:asciiTheme="minorEastAsia" w:hAnsiTheme="minorEastAsia" w:cs="仿宋_GB2312"/>
          <w:sz w:val="24"/>
        </w:rPr>
      </w:pPr>
      <w:r w:rsidRPr="0067693C">
        <w:rPr>
          <w:rFonts w:asciiTheme="minorEastAsia" w:hAnsiTheme="minorEastAsia" w:cs="仿宋_GB2312"/>
          <w:sz w:val="24"/>
        </w:rPr>
        <w:t xml:space="preserve"> </w:t>
      </w:r>
    </w:p>
    <w:p w:rsidR="00EE334C" w:rsidRPr="009276D7" w:rsidRDefault="00EE334C" w:rsidP="00EE334C">
      <w:pPr>
        <w:adjustRightInd w:val="0"/>
        <w:snapToGrid w:val="0"/>
        <w:spacing w:line="480" w:lineRule="exact"/>
        <w:rPr>
          <w:rFonts w:asciiTheme="minorEastAsia" w:hAnsiTheme="minorEastAsia" w:cs="仿宋_GB2312"/>
          <w:sz w:val="32"/>
          <w:szCs w:val="32"/>
        </w:rPr>
      </w:pPr>
      <w:r w:rsidRPr="009276D7">
        <w:rPr>
          <w:rFonts w:asciiTheme="minorEastAsia" w:hAnsiTheme="minorEastAsia" w:cs="仿宋_GB2312" w:hint="eastAsia"/>
          <w:sz w:val="32"/>
          <w:szCs w:val="32"/>
        </w:rPr>
        <w:t xml:space="preserve"> </w:t>
      </w:r>
    </w:p>
    <w:p w:rsidR="00EE334C" w:rsidRPr="009276D7" w:rsidRDefault="00EE334C" w:rsidP="00EE334C">
      <w:pPr>
        <w:adjustRightInd w:val="0"/>
        <w:snapToGrid w:val="0"/>
        <w:spacing w:line="480" w:lineRule="exact"/>
        <w:rPr>
          <w:rFonts w:asciiTheme="minorEastAsia" w:hAnsiTheme="minorEastAsia" w:cs="仿宋_GB2312"/>
          <w:sz w:val="32"/>
          <w:szCs w:val="32"/>
        </w:rPr>
      </w:pPr>
      <w:r w:rsidRPr="009276D7">
        <w:rPr>
          <w:rFonts w:asciiTheme="minorEastAsia" w:hAnsiTheme="minorEastAsia" w:cs="仿宋_GB2312" w:hint="eastAsia"/>
          <w:sz w:val="32"/>
          <w:szCs w:val="32"/>
        </w:rPr>
        <w:t xml:space="preserve"> </w:t>
      </w:r>
    </w:p>
    <w:p w:rsidR="00EE334C" w:rsidRPr="009276D7" w:rsidRDefault="00EE334C" w:rsidP="00EE334C">
      <w:pPr>
        <w:adjustRightInd w:val="0"/>
        <w:snapToGrid w:val="0"/>
        <w:spacing w:line="480" w:lineRule="exact"/>
        <w:rPr>
          <w:rFonts w:asciiTheme="minorEastAsia" w:hAnsiTheme="minorEastAsia" w:cs="仿宋_GB2312"/>
          <w:sz w:val="32"/>
          <w:szCs w:val="32"/>
        </w:rPr>
      </w:pPr>
      <w:r w:rsidRPr="009276D7">
        <w:rPr>
          <w:rFonts w:asciiTheme="minorEastAsia" w:hAnsiTheme="minorEastAsia" w:cs="仿宋_GB2312" w:hint="eastAsia"/>
          <w:sz w:val="32"/>
          <w:szCs w:val="32"/>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r w:rsidRPr="009276D7">
        <w:rPr>
          <w:rFonts w:asciiTheme="minorEastAsia" w:hAnsiTheme="minorEastAsia" w:cs="仿宋_GB2312" w:hint="eastAsia"/>
          <w:sz w:val="30"/>
          <w:szCs w:val="30"/>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r w:rsidRPr="009276D7">
        <w:rPr>
          <w:rFonts w:asciiTheme="minorEastAsia" w:hAnsiTheme="minorEastAsia" w:cs="仿宋_GB2312" w:hint="eastAsia"/>
          <w:sz w:val="30"/>
          <w:szCs w:val="30"/>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r w:rsidRPr="009276D7">
        <w:rPr>
          <w:rFonts w:asciiTheme="minorEastAsia" w:hAnsiTheme="minorEastAsia" w:cs="仿宋_GB2312" w:hint="eastAsia"/>
          <w:sz w:val="30"/>
          <w:szCs w:val="30"/>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r w:rsidRPr="009276D7">
        <w:rPr>
          <w:rFonts w:asciiTheme="minorEastAsia" w:hAnsiTheme="minorEastAsia" w:cs="仿宋_GB2312" w:hint="eastAsia"/>
          <w:sz w:val="30"/>
          <w:szCs w:val="30"/>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r w:rsidRPr="009276D7">
        <w:rPr>
          <w:rFonts w:asciiTheme="minorEastAsia" w:hAnsiTheme="minorEastAsia" w:cs="仿宋_GB2312" w:hint="eastAsia"/>
          <w:sz w:val="30"/>
          <w:szCs w:val="30"/>
        </w:rPr>
        <w:t xml:space="preserve"> </w:t>
      </w:r>
    </w:p>
    <w:p w:rsidR="00EE334C" w:rsidRPr="009276D7" w:rsidRDefault="00EE334C" w:rsidP="00EE334C">
      <w:pPr>
        <w:adjustRightInd w:val="0"/>
        <w:snapToGrid w:val="0"/>
        <w:spacing w:line="480" w:lineRule="exact"/>
        <w:rPr>
          <w:rFonts w:asciiTheme="minorEastAsia" w:hAnsiTheme="minorEastAsia" w:cs="仿宋_GB2312"/>
          <w:sz w:val="30"/>
          <w:szCs w:val="30"/>
        </w:rPr>
      </w:pPr>
    </w:p>
    <w:p w:rsidR="00493ABE" w:rsidRPr="00493ABE" w:rsidRDefault="00493ABE" w:rsidP="00EE334C">
      <w:pPr>
        <w:adjustRightInd w:val="0"/>
        <w:snapToGrid w:val="0"/>
        <w:spacing w:line="480" w:lineRule="exact"/>
        <w:rPr>
          <w:rFonts w:asciiTheme="minorEastAsia" w:hAnsiTheme="minorEastAsia" w:cs="仿宋_GB2312"/>
          <w:sz w:val="30"/>
          <w:szCs w:val="30"/>
        </w:rPr>
      </w:pPr>
    </w:p>
    <w:p w:rsidR="00246CD9" w:rsidRPr="00246CD9" w:rsidRDefault="00246CD9" w:rsidP="00246CD9">
      <w:pPr>
        <w:adjustRightInd w:val="0"/>
        <w:snapToGrid w:val="0"/>
        <w:spacing w:line="1000" w:lineRule="atLeast"/>
        <w:rPr>
          <w:sz w:val="48"/>
          <w:szCs w:val="48"/>
        </w:rPr>
      </w:pPr>
    </w:p>
    <w:p w:rsidR="00AC40C2" w:rsidRPr="000C3BB0" w:rsidRDefault="000E548B" w:rsidP="00AC40C2">
      <w:pPr>
        <w:ind w:firstLineChars="150" w:firstLine="420"/>
        <w:rPr>
          <w:rFonts w:ascii="仿宋_GB2312" w:eastAsia="仿宋_GB2312" w:hAnsi="宋体" w:cs="宋体"/>
          <w:kern w:val="0"/>
          <w:sz w:val="28"/>
          <w:szCs w:val="28"/>
        </w:rPr>
      </w:pPr>
      <w:r w:rsidRPr="000E548B">
        <w:rPr>
          <w:rFonts w:ascii="仿宋_GB2312" w:eastAsia="仿宋_GB2312"/>
          <w:sz w:val="28"/>
          <w:szCs w:val="28"/>
        </w:rPr>
        <w:pict>
          <v:line id="_x0000_s2053" style="position:absolute;left:0;text-align:left;z-index:251664384" from="0,2.6pt" to="423pt,2.6pt">
            <w10:wrap anchorx="page"/>
          </v:line>
        </w:pict>
      </w:r>
      <w:r w:rsidR="00AC40C2" w:rsidRPr="000C3BB0">
        <w:rPr>
          <w:rFonts w:ascii="仿宋_GB2312" w:eastAsia="仿宋_GB2312" w:hAnsi="宋体" w:cs="宋体" w:hint="eastAsia"/>
          <w:kern w:val="0"/>
          <w:sz w:val="28"/>
          <w:szCs w:val="28"/>
        </w:rPr>
        <w:t xml:space="preserve">浙江广播电视大学校长办公室 </w:t>
      </w:r>
      <w:r w:rsidR="00AC40C2" w:rsidRPr="000C3BB0">
        <w:rPr>
          <w:rFonts w:ascii="仿宋_GB2312" w:eastAsia="仿宋_GB2312" w:hint="eastAsia"/>
          <w:sz w:val="28"/>
          <w:szCs w:val="28"/>
        </w:rPr>
        <w:t xml:space="preserve">  </w:t>
      </w:r>
      <w:bookmarkStart w:id="1" w:name="日期"/>
      <w:r w:rsidR="00AC40C2">
        <w:rPr>
          <w:rFonts w:ascii="仿宋_GB2312" w:eastAsia="仿宋_GB2312" w:hint="eastAsia"/>
          <w:sz w:val="28"/>
          <w:szCs w:val="28"/>
        </w:rPr>
        <w:t xml:space="preserve">     </w:t>
      </w:r>
      <w:r w:rsidR="00AC40C2" w:rsidRPr="000C3BB0">
        <w:rPr>
          <w:rFonts w:ascii="仿宋_GB2312" w:eastAsia="仿宋_GB2312" w:hint="eastAsia"/>
          <w:sz w:val="28"/>
          <w:szCs w:val="28"/>
        </w:rPr>
        <w:t>2018年4月</w:t>
      </w:r>
      <w:r w:rsidR="00AC40C2">
        <w:rPr>
          <w:rFonts w:ascii="仿宋_GB2312" w:eastAsia="仿宋_GB2312" w:hint="eastAsia"/>
          <w:sz w:val="28"/>
          <w:szCs w:val="28"/>
        </w:rPr>
        <w:t>10</w:t>
      </w:r>
      <w:r w:rsidR="00AC40C2" w:rsidRPr="000C3BB0">
        <w:rPr>
          <w:rFonts w:ascii="仿宋_GB2312" w:eastAsia="仿宋_GB2312" w:hint="eastAsia"/>
          <w:sz w:val="28"/>
          <w:szCs w:val="28"/>
        </w:rPr>
        <w:t>日</w:t>
      </w:r>
      <w:bookmarkEnd w:id="1"/>
      <w:r w:rsidR="00AC40C2" w:rsidRPr="000C3BB0">
        <w:rPr>
          <w:rFonts w:ascii="仿宋_GB2312" w:eastAsia="仿宋_GB2312" w:hint="eastAsia"/>
          <w:sz w:val="28"/>
          <w:szCs w:val="28"/>
        </w:rPr>
        <w:t>印发</w:t>
      </w:r>
    </w:p>
    <w:p w:rsidR="00AC40C2" w:rsidRPr="00246CD9" w:rsidRDefault="000E548B" w:rsidP="00246CD9">
      <w:pPr>
        <w:adjustRightInd w:val="0"/>
        <w:snapToGrid w:val="0"/>
        <w:spacing w:line="200" w:lineRule="exact"/>
        <w:ind w:firstLineChars="160" w:firstLine="336"/>
        <w:jc w:val="left"/>
        <w:rPr>
          <w:rFonts w:ascii="仿宋_GB2312" w:eastAsia="仿宋_GB2312"/>
          <w:szCs w:val="21"/>
        </w:rPr>
      </w:pPr>
      <w:r w:rsidRPr="00246CD9">
        <w:rPr>
          <w:szCs w:val="21"/>
        </w:rPr>
        <w:pict>
          <v:line id="_x0000_s2051" style="position:absolute;left:0;text-align:left;z-index:251662336" from="0,2pt" to="423pt,2pt">
            <w10:wrap anchorx="page"/>
          </v:line>
        </w:pict>
      </w:r>
      <w:r w:rsidR="00AC40C2" w:rsidRPr="00246CD9">
        <w:rPr>
          <w:rFonts w:ascii="仿宋_GB2312" w:eastAsia="仿宋_GB2312"/>
          <w:szCs w:val="21"/>
        </w:rPr>
        <w:t xml:space="preserve">      </w:t>
      </w:r>
      <w:r w:rsidR="00AC40C2" w:rsidRPr="00246CD9">
        <w:rPr>
          <w:rFonts w:ascii="仿宋_GB2312" w:eastAsia="仿宋_GB2312" w:hint="eastAsia"/>
          <w:szCs w:val="21"/>
        </w:rPr>
        <w:t xml:space="preserve">               </w:t>
      </w:r>
      <w:r w:rsidRPr="00246CD9">
        <w:rPr>
          <w:rFonts w:ascii="仿宋_GB2312" w:eastAsia="仿宋_GB2312"/>
          <w:szCs w:val="21"/>
        </w:rPr>
        <w:pict>
          <v:line id="_x0000_s2052" style="position:absolute;left:0;text-align:left;z-index:251663360;mso-position-horizontal-relative:text;mso-position-vertical-relative:text" from="0,2.2pt" to="423pt,2.2pt">
            <w10:wrap anchorx="page"/>
          </v:line>
        </w:pict>
      </w:r>
    </w:p>
    <w:sectPr w:rsidR="00AC40C2" w:rsidRPr="00246CD9" w:rsidSect="00EB5E59">
      <w:pgSz w:w="11906" w:h="16838"/>
      <w:pgMar w:top="1985" w:right="1531" w:bottom="1985"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7F0" w:rsidRDefault="000577F0" w:rsidP="00EE334C">
      <w:r>
        <w:separator/>
      </w:r>
    </w:p>
  </w:endnote>
  <w:endnote w:type="continuationSeparator" w:id="0">
    <w:p w:rsidR="000577F0" w:rsidRDefault="000577F0" w:rsidP="00EE33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方正小标宋简体"/>
    <w:charset w:val="86"/>
    <w:family w:val="auto"/>
    <w:pitch w:val="default"/>
    <w:sig w:usb0="00000001"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_GBK">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34C" w:rsidRDefault="000E548B">
    <w:pPr>
      <w:pStyle w:val="a4"/>
    </w:pPr>
    <w:r>
      <w:pict>
        <v:shapetype id="_x0000_t202" coordsize="21600,21600" o:spt="202" path="m,l,21600r21600,l21600,xe">
          <v:stroke joinstyle="miter"/>
          <v:path gradientshapeok="t" o:connecttype="rect"/>
        </v:shapetype>
        <v:shape id="_x0000_s1025" type="#_x0000_t202" style="position:absolute;margin-left:1652.8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E334C" w:rsidRDefault="000E548B">
                <w:pPr>
                  <w:snapToGrid w:val="0"/>
                  <w:rPr>
                    <w:sz w:val="18"/>
                  </w:rPr>
                </w:pPr>
                <w:r>
                  <w:rPr>
                    <w:rFonts w:asciiTheme="minorEastAsia" w:hAnsiTheme="minorEastAsia" w:cstheme="minorEastAsia" w:hint="eastAsia"/>
                    <w:sz w:val="28"/>
                    <w:szCs w:val="28"/>
                  </w:rPr>
                  <w:fldChar w:fldCharType="begin"/>
                </w:r>
                <w:r w:rsidR="00EE334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46CD9">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7F0" w:rsidRDefault="000577F0" w:rsidP="00EE334C">
      <w:r>
        <w:separator/>
      </w:r>
    </w:p>
  </w:footnote>
  <w:footnote w:type="continuationSeparator" w:id="0">
    <w:p w:rsidR="000577F0" w:rsidRDefault="000577F0" w:rsidP="00EE33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34C"/>
    <w:rsid w:val="0000496C"/>
    <w:rsid w:val="000131F5"/>
    <w:rsid w:val="00014EE3"/>
    <w:rsid w:val="00026A62"/>
    <w:rsid w:val="0002783C"/>
    <w:rsid w:val="00033E0D"/>
    <w:rsid w:val="00042642"/>
    <w:rsid w:val="000577F0"/>
    <w:rsid w:val="00057C21"/>
    <w:rsid w:val="00071E1F"/>
    <w:rsid w:val="00073CBB"/>
    <w:rsid w:val="000A0973"/>
    <w:rsid w:val="000C7669"/>
    <w:rsid w:val="000D390E"/>
    <w:rsid w:val="000E548B"/>
    <w:rsid w:val="000F3EC6"/>
    <w:rsid w:val="000F6F2F"/>
    <w:rsid w:val="00101375"/>
    <w:rsid w:val="00105F80"/>
    <w:rsid w:val="001111E6"/>
    <w:rsid w:val="00117D8D"/>
    <w:rsid w:val="00124DE0"/>
    <w:rsid w:val="00127296"/>
    <w:rsid w:val="00132A98"/>
    <w:rsid w:val="00143A78"/>
    <w:rsid w:val="00150DAC"/>
    <w:rsid w:val="00157465"/>
    <w:rsid w:val="00157964"/>
    <w:rsid w:val="00172C48"/>
    <w:rsid w:val="00172CC2"/>
    <w:rsid w:val="001744EB"/>
    <w:rsid w:val="0017535B"/>
    <w:rsid w:val="00176E32"/>
    <w:rsid w:val="00185C07"/>
    <w:rsid w:val="00197763"/>
    <w:rsid w:val="001B72C2"/>
    <w:rsid w:val="001E2DD5"/>
    <w:rsid w:val="001F296E"/>
    <w:rsid w:val="001F2F5D"/>
    <w:rsid w:val="00201CA9"/>
    <w:rsid w:val="00226098"/>
    <w:rsid w:val="00240DF2"/>
    <w:rsid w:val="0024458F"/>
    <w:rsid w:val="002464A7"/>
    <w:rsid w:val="00246CD9"/>
    <w:rsid w:val="00250101"/>
    <w:rsid w:val="002565F6"/>
    <w:rsid w:val="0026551D"/>
    <w:rsid w:val="002806B2"/>
    <w:rsid w:val="002847E8"/>
    <w:rsid w:val="0029114C"/>
    <w:rsid w:val="00292F23"/>
    <w:rsid w:val="002A1FDD"/>
    <w:rsid w:val="002C1510"/>
    <w:rsid w:val="002C342E"/>
    <w:rsid w:val="002E210F"/>
    <w:rsid w:val="002E6135"/>
    <w:rsid w:val="002F523D"/>
    <w:rsid w:val="0030100B"/>
    <w:rsid w:val="00304E0A"/>
    <w:rsid w:val="00314DBF"/>
    <w:rsid w:val="00326320"/>
    <w:rsid w:val="0032677B"/>
    <w:rsid w:val="003541B9"/>
    <w:rsid w:val="00365CEC"/>
    <w:rsid w:val="00391A91"/>
    <w:rsid w:val="00394624"/>
    <w:rsid w:val="003A453E"/>
    <w:rsid w:val="003B3C5D"/>
    <w:rsid w:val="003B75FD"/>
    <w:rsid w:val="003C399C"/>
    <w:rsid w:val="003D2519"/>
    <w:rsid w:val="003D667F"/>
    <w:rsid w:val="003E5628"/>
    <w:rsid w:val="003F3A61"/>
    <w:rsid w:val="00402111"/>
    <w:rsid w:val="00402269"/>
    <w:rsid w:val="00412CFF"/>
    <w:rsid w:val="004138D4"/>
    <w:rsid w:val="00414CEA"/>
    <w:rsid w:val="00422B8D"/>
    <w:rsid w:val="004323A9"/>
    <w:rsid w:val="0043332B"/>
    <w:rsid w:val="00435A4B"/>
    <w:rsid w:val="00441931"/>
    <w:rsid w:val="00461538"/>
    <w:rsid w:val="00466BBC"/>
    <w:rsid w:val="00471FCD"/>
    <w:rsid w:val="00477AFB"/>
    <w:rsid w:val="00486417"/>
    <w:rsid w:val="00493ABE"/>
    <w:rsid w:val="004A21B9"/>
    <w:rsid w:val="004B5BA7"/>
    <w:rsid w:val="004C2C02"/>
    <w:rsid w:val="004C3689"/>
    <w:rsid w:val="004D0367"/>
    <w:rsid w:val="004F0E34"/>
    <w:rsid w:val="004F440D"/>
    <w:rsid w:val="00512402"/>
    <w:rsid w:val="005145BC"/>
    <w:rsid w:val="005219D9"/>
    <w:rsid w:val="00545F5E"/>
    <w:rsid w:val="00547972"/>
    <w:rsid w:val="00554DA0"/>
    <w:rsid w:val="005571FD"/>
    <w:rsid w:val="0056408F"/>
    <w:rsid w:val="005649BE"/>
    <w:rsid w:val="0059043F"/>
    <w:rsid w:val="005941AD"/>
    <w:rsid w:val="005A2580"/>
    <w:rsid w:val="005C72EC"/>
    <w:rsid w:val="005E0235"/>
    <w:rsid w:val="005E270D"/>
    <w:rsid w:val="005F6774"/>
    <w:rsid w:val="006003FE"/>
    <w:rsid w:val="00606DBB"/>
    <w:rsid w:val="00621DC9"/>
    <w:rsid w:val="00626577"/>
    <w:rsid w:val="0064239B"/>
    <w:rsid w:val="0064773A"/>
    <w:rsid w:val="00651C7D"/>
    <w:rsid w:val="00652BDB"/>
    <w:rsid w:val="006547ED"/>
    <w:rsid w:val="00656D15"/>
    <w:rsid w:val="006575CF"/>
    <w:rsid w:val="00666B30"/>
    <w:rsid w:val="00671E2F"/>
    <w:rsid w:val="00680A60"/>
    <w:rsid w:val="00681FFC"/>
    <w:rsid w:val="006865FD"/>
    <w:rsid w:val="00690BA9"/>
    <w:rsid w:val="0069231B"/>
    <w:rsid w:val="006A33CF"/>
    <w:rsid w:val="006B3920"/>
    <w:rsid w:val="006B7F8A"/>
    <w:rsid w:val="006E140A"/>
    <w:rsid w:val="006E1433"/>
    <w:rsid w:val="006E3340"/>
    <w:rsid w:val="00702CC2"/>
    <w:rsid w:val="00710030"/>
    <w:rsid w:val="00710E3F"/>
    <w:rsid w:val="00735927"/>
    <w:rsid w:val="00745AF7"/>
    <w:rsid w:val="00751D67"/>
    <w:rsid w:val="00755A5D"/>
    <w:rsid w:val="00763E96"/>
    <w:rsid w:val="00767B4B"/>
    <w:rsid w:val="0077107D"/>
    <w:rsid w:val="007730FC"/>
    <w:rsid w:val="00775D85"/>
    <w:rsid w:val="00794ABF"/>
    <w:rsid w:val="00795C80"/>
    <w:rsid w:val="007A2E78"/>
    <w:rsid w:val="007A602D"/>
    <w:rsid w:val="007B1F5B"/>
    <w:rsid w:val="007B2627"/>
    <w:rsid w:val="007B46D7"/>
    <w:rsid w:val="007B7AA3"/>
    <w:rsid w:val="007C0ABA"/>
    <w:rsid w:val="007C3CE9"/>
    <w:rsid w:val="007D3B7E"/>
    <w:rsid w:val="007D6F0B"/>
    <w:rsid w:val="007F2889"/>
    <w:rsid w:val="007F2AED"/>
    <w:rsid w:val="007F76EA"/>
    <w:rsid w:val="00801323"/>
    <w:rsid w:val="00806AF2"/>
    <w:rsid w:val="00810E95"/>
    <w:rsid w:val="00813AC6"/>
    <w:rsid w:val="008232E8"/>
    <w:rsid w:val="008327C9"/>
    <w:rsid w:val="008407C1"/>
    <w:rsid w:val="008541F7"/>
    <w:rsid w:val="00872236"/>
    <w:rsid w:val="0087491F"/>
    <w:rsid w:val="008857E3"/>
    <w:rsid w:val="00886861"/>
    <w:rsid w:val="008B1EE6"/>
    <w:rsid w:val="008B3781"/>
    <w:rsid w:val="008B5C54"/>
    <w:rsid w:val="008C358E"/>
    <w:rsid w:val="008C68E9"/>
    <w:rsid w:val="008D0DB6"/>
    <w:rsid w:val="008D2DB2"/>
    <w:rsid w:val="008D519C"/>
    <w:rsid w:val="008E5B8E"/>
    <w:rsid w:val="008F6574"/>
    <w:rsid w:val="0090635A"/>
    <w:rsid w:val="00906EB6"/>
    <w:rsid w:val="00910143"/>
    <w:rsid w:val="00911B5C"/>
    <w:rsid w:val="00915F5F"/>
    <w:rsid w:val="0093245C"/>
    <w:rsid w:val="009350D2"/>
    <w:rsid w:val="00953081"/>
    <w:rsid w:val="009564DE"/>
    <w:rsid w:val="0096343B"/>
    <w:rsid w:val="00965F3E"/>
    <w:rsid w:val="0097538B"/>
    <w:rsid w:val="009905A8"/>
    <w:rsid w:val="00994DD4"/>
    <w:rsid w:val="009B1766"/>
    <w:rsid w:val="009B28D3"/>
    <w:rsid w:val="009C7F45"/>
    <w:rsid w:val="009E2BCD"/>
    <w:rsid w:val="00A1133C"/>
    <w:rsid w:val="00A14005"/>
    <w:rsid w:val="00A16040"/>
    <w:rsid w:val="00A17723"/>
    <w:rsid w:val="00A237B6"/>
    <w:rsid w:val="00A36EED"/>
    <w:rsid w:val="00A37381"/>
    <w:rsid w:val="00A45CBD"/>
    <w:rsid w:val="00A62843"/>
    <w:rsid w:val="00A636F4"/>
    <w:rsid w:val="00A667A0"/>
    <w:rsid w:val="00A95CFC"/>
    <w:rsid w:val="00A97023"/>
    <w:rsid w:val="00AB157F"/>
    <w:rsid w:val="00AC40C2"/>
    <w:rsid w:val="00AE2F75"/>
    <w:rsid w:val="00AF130D"/>
    <w:rsid w:val="00B10EB6"/>
    <w:rsid w:val="00B23E57"/>
    <w:rsid w:val="00B3011B"/>
    <w:rsid w:val="00B47EFB"/>
    <w:rsid w:val="00B5010E"/>
    <w:rsid w:val="00B5296F"/>
    <w:rsid w:val="00B66B3A"/>
    <w:rsid w:val="00B66DBA"/>
    <w:rsid w:val="00B7152F"/>
    <w:rsid w:val="00B807AA"/>
    <w:rsid w:val="00B87259"/>
    <w:rsid w:val="00B87905"/>
    <w:rsid w:val="00B96DC9"/>
    <w:rsid w:val="00BA696A"/>
    <w:rsid w:val="00BE6395"/>
    <w:rsid w:val="00BF0903"/>
    <w:rsid w:val="00BF72F2"/>
    <w:rsid w:val="00BF7E0D"/>
    <w:rsid w:val="00C00DA3"/>
    <w:rsid w:val="00C04805"/>
    <w:rsid w:val="00C048EE"/>
    <w:rsid w:val="00C10537"/>
    <w:rsid w:val="00C116A9"/>
    <w:rsid w:val="00C143F8"/>
    <w:rsid w:val="00C2188A"/>
    <w:rsid w:val="00C34478"/>
    <w:rsid w:val="00C407B4"/>
    <w:rsid w:val="00C4769A"/>
    <w:rsid w:val="00C62EC0"/>
    <w:rsid w:val="00C76092"/>
    <w:rsid w:val="00C776AA"/>
    <w:rsid w:val="00C96534"/>
    <w:rsid w:val="00CA5607"/>
    <w:rsid w:val="00CA6E22"/>
    <w:rsid w:val="00CC23E5"/>
    <w:rsid w:val="00CC5A81"/>
    <w:rsid w:val="00D05C6C"/>
    <w:rsid w:val="00D11FC4"/>
    <w:rsid w:val="00D472BD"/>
    <w:rsid w:val="00D4784F"/>
    <w:rsid w:val="00D6174E"/>
    <w:rsid w:val="00D77FE4"/>
    <w:rsid w:val="00D91358"/>
    <w:rsid w:val="00DA5438"/>
    <w:rsid w:val="00DB7BE6"/>
    <w:rsid w:val="00DC6A94"/>
    <w:rsid w:val="00DE1EBC"/>
    <w:rsid w:val="00DE78D1"/>
    <w:rsid w:val="00DF51B5"/>
    <w:rsid w:val="00E01B68"/>
    <w:rsid w:val="00E03702"/>
    <w:rsid w:val="00E0516F"/>
    <w:rsid w:val="00E070E4"/>
    <w:rsid w:val="00E10174"/>
    <w:rsid w:val="00E16BB4"/>
    <w:rsid w:val="00E264C5"/>
    <w:rsid w:val="00E3102E"/>
    <w:rsid w:val="00E32530"/>
    <w:rsid w:val="00E3582F"/>
    <w:rsid w:val="00E51E5C"/>
    <w:rsid w:val="00E53030"/>
    <w:rsid w:val="00E75A14"/>
    <w:rsid w:val="00E775FC"/>
    <w:rsid w:val="00E83B3B"/>
    <w:rsid w:val="00E85ADA"/>
    <w:rsid w:val="00E91D82"/>
    <w:rsid w:val="00E936BC"/>
    <w:rsid w:val="00EA4E50"/>
    <w:rsid w:val="00EE332A"/>
    <w:rsid w:val="00EE334C"/>
    <w:rsid w:val="00EE3F07"/>
    <w:rsid w:val="00EE570F"/>
    <w:rsid w:val="00F06F3B"/>
    <w:rsid w:val="00F17697"/>
    <w:rsid w:val="00F232AB"/>
    <w:rsid w:val="00F339C7"/>
    <w:rsid w:val="00F34E0E"/>
    <w:rsid w:val="00F35999"/>
    <w:rsid w:val="00F42F2E"/>
    <w:rsid w:val="00F47D7F"/>
    <w:rsid w:val="00F653AB"/>
    <w:rsid w:val="00F677ED"/>
    <w:rsid w:val="00F70BFE"/>
    <w:rsid w:val="00F76EF8"/>
    <w:rsid w:val="00F8025F"/>
    <w:rsid w:val="00F87684"/>
    <w:rsid w:val="00F93675"/>
    <w:rsid w:val="00F9439A"/>
    <w:rsid w:val="00FA1F38"/>
    <w:rsid w:val="00FA6134"/>
    <w:rsid w:val="00FA6F58"/>
    <w:rsid w:val="00FB4555"/>
    <w:rsid w:val="00FC29CB"/>
    <w:rsid w:val="00FC4D63"/>
    <w:rsid w:val="00FE25E5"/>
    <w:rsid w:val="00FF7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34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33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334C"/>
    <w:rPr>
      <w:sz w:val="18"/>
      <w:szCs w:val="18"/>
    </w:rPr>
  </w:style>
  <w:style w:type="paragraph" w:styleId="a4">
    <w:name w:val="footer"/>
    <w:basedOn w:val="a"/>
    <w:link w:val="Char0"/>
    <w:unhideWhenUsed/>
    <w:qFormat/>
    <w:rsid w:val="00EE334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334C"/>
    <w:rPr>
      <w:sz w:val="18"/>
      <w:szCs w:val="18"/>
    </w:rPr>
  </w:style>
  <w:style w:type="paragraph" w:styleId="2">
    <w:name w:val="Body Text Indent 2"/>
    <w:basedOn w:val="a"/>
    <w:link w:val="2Char1"/>
    <w:qFormat/>
    <w:rsid w:val="00EE334C"/>
    <w:pPr>
      <w:autoSpaceDE w:val="0"/>
      <w:autoSpaceDN w:val="0"/>
      <w:adjustRightInd w:val="0"/>
      <w:spacing w:line="240" w:lineRule="atLeast"/>
      <w:ind w:firstLineChars="200" w:firstLine="480"/>
      <w:jc w:val="left"/>
    </w:pPr>
    <w:rPr>
      <w:rFonts w:ascii="宋体" w:eastAsia="宋体" w:hAnsi="Calibri" w:cs="Times New Roman"/>
      <w:kern w:val="0"/>
      <w:sz w:val="24"/>
    </w:rPr>
  </w:style>
  <w:style w:type="character" w:customStyle="1" w:styleId="2Char">
    <w:name w:val="正文文本缩进 2 Char"/>
    <w:basedOn w:val="a0"/>
    <w:link w:val="2"/>
    <w:uiPriority w:val="99"/>
    <w:semiHidden/>
    <w:rsid w:val="00EE334C"/>
    <w:rPr>
      <w:szCs w:val="24"/>
    </w:rPr>
  </w:style>
  <w:style w:type="character" w:customStyle="1" w:styleId="2Char1">
    <w:name w:val="正文文本缩进 2 Char1"/>
    <w:basedOn w:val="a0"/>
    <w:link w:val="2"/>
    <w:qFormat/>
    <w:rsid w:val="00EE334C"/>
    <w:rPr>
      <w:rFonts w:ascii="宋体"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621</Words>
  <Characters>3542</Characters>
  <Application>Microsoft Office Word</Application>
  <DocSecurity>0</DocSecurity>
  <Lines>29</Lines>
  <Paragraphs>8</Paragraphs>
  <ScaleCrop>false</ScaleCrop>
  <Company>杭州市财政局</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胡央波</dc:creator>
  <cp:keywords/>
  <dc:description/>
  <cp:lastModifiedBy>胡央波</cp:lastModifiedBy>
  <cp:revision>7</cp:revision>
  <dcterms:created xsi:type="dcterms:W3CDTF">2018-04-10T00:05:00Z</dcterms:created>
  <dcterms:modified xsi:type="dcterms:W3CDTF">2018-04-11T00:24:00Z</dcterms:modified>
</cp:coreProperties>
</file>