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09" w:rsidRPr="008B5191" w:rsidRDefault="00C11120" w:rsidP="008B5191">
      <w:pPr>
        <w:spacing w:line="360" w:lineRule="auto"/>
        <w:jc w:val="center"/>
        <w:rPr>
          <w:rFonts w:ascii="宋体" w:hAnsi="宋体"/>
          <w:b/>
          <w:sz w:val="44"/>
          <w:szCs w:val="44"/>
        </w:rPr>
      </w:pPr>
      <w:r>
        <w:rPr>
          <w:rFonts w:ascii="宋体" w:hAnsi="宋体" w:hint="eastAsia"/>
          <w:b/>
          <w:sz w:val="44"/>
          <w:szCs w:val="44"/>
        </w:rPr>
        <w:t>台州广播电视大学</w:t>
      </w:r>
      <w:r w:rsidR="008B5191" w:rsidRPr="008B5191">
        <w:rPr>
          <w:rFonts w:ascii="宋体" w:hAnsi="宋体" w:hint="eastAsia"/>
          <w:b/>
          <w:sz w:val="44"/>
          <w:szCs w:val="44"/>
        </w:rPr>
        <w:t>毕业生就业质量报告</w:t>
      </w:r>
    </w:p>
    <w:p w:rsidR="008B5191" w:rsidRPr="008B5191" w:rsidRDefault="008B5191" w:rsidP="008B5191">
      <w:pPr>
        <w:spacing w:line="360" w:lineRule="auto"/>
        <w:jc w:val="center"/>
        <w:rPr>
          <w:rFonts w:ascii="宋体" w:hAnsi="宋体"/>
          <w:sz w:val="24"/>
        </w:rPr>
      </w:pPr>
    </w:p>
    <w:p w:rsidR="008B5191" w:rsidRPr="008B5191" w:rsidRDefault="00C11120" w:rsidP="008B5191">
      <w:pPr>
        <w:pStyle w:val="a3"/>
        <w:numPr>
          <w:ilvl w:val="0"/>
          <w:numId w:val="1"/>
        </w:numPr>
        <w:spacing w:line="360" w:lineRule="auto"/>
        <w:ind w:firstLineChars="0"/>
        <w:rPr>
          <w:rFonts w:ascii="宋体" w:hAnsi="宋体"/>
          <w:sz w:val="24"/>
        </w:rPr>
      </w:pPr>
      <w:r>
        <w:rPr>
          <w:rFonts w:ascii="宋体" w:hAnsi="宋体" w:hint="eastAsia"/>
          <w:sz w:val="24"/>
        </w:rPr>
        <w:t>台州电大</w:t>
      </w:r>
      <w:r w:rsidR="008B5191" w:rsidRPr="008B5191">
        <w:rPr>
          <w:rFonts w:ascii="宋体" w:hAnsi="宋体" w:hint="eastAsia"/>
          <w:sz w:val="24"/>
        </w:rPr>
        <w:t>毕业生就业基本情况及工作举措</w:t>
      </w:r>
    </w:p>
    <w:p w:rsidR="008B5191" w:rsidRPr="008B5191" w:rsidRDefault="008B5191" w:rsidP="008B5191">
      <w:pPr>
        <w:pStyle w:val="a3"/>
        <w:spacing w:line="360" w:lineRule="auto"/>
        <w:ind w:left="420" w:firstLine="480"/>
        <w:rPr>
          <w:rFonts w:ascii="宋体" w:hAnsi="宋体"/>
          <w:sz w:val="24"/>
        </w:rPr>
      </w:pPr>
      <w:r w:rsidRPr="008B5191">
        <w:rPr>
          <w:rFonts w:ascii="宋体" w:hAnsi="宋体" w:hint="eastAsia"/>
          <w:sz w:val="24"/>
        </w:rPr>
        <w:t>通过对</w:t>
      </w:r>
      <w:r w:rsidR="00E25B2D">
        <w:rPr>
          <w:rFonts w:ascii="宋体" w:hAnsi="宋体" w:hint="eastAsia"/>
          <w:sz w:val="24"/>
        </w:rPr>
        <w:t>2018</w:t>
      </w:r>
      <w:r w:rsidRPr="008B5191">
        <w:rPr>
          <w:rFonts w:ascii="宋体" w:hAnsi="宋体" w:hint="eastAsia"/>
          <w:sz w:val="24"/>
        </w:rPr>
        <w:t>届高职学院</w:t>
      </w:r>
      <w:r w:rsidR="00E25B2D">
        <w:rPr>
          <w:rFonts w:ascii="宋体" w:hAnsi="宋体" w:hint="eastAsia"/>
          <w:sz w:val="24"/>
        </w:rPr>
        <w:t>和继续教育学院</w:t>
      </w:r>
      <w:r w:rsidRPr="008B5191">
        <w:rPr>
          <w:rFonts w:ascii="宋体" w:hAnsi="宋体" w:hint="eastAsia"/>
          <w:sz w:val="24"/>
        </w:rPr>
        <w:t>初次就业情况统计数据和大学生毕业就业状况调查数据的统计结果进行分析总结，可以得出以下结论：</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毕业生初次就业率</w:t>
      </w:r>
    </w:p>
    <w:p w:rsid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高职学院</w:t>
      </w:r>
      <w:r w:rsidR="00E25B2D">
        <w:rPr>
          <w:rFonts w:ascii="宋体" w:hAnsi="宋体" w:hint="eastAsia"/>
          <w:sz w:val="24"/>
        </w:rPr>
        <w:t>2018</w:t>
      </w:r>
      <w:r w:rsidRPr="008B5191">
        <w:rPr>
          <w:rFonts w:ascii="宋体" w:hAnsi="宋体" w:hint="eastAsia"/>
          <w:sz w:val="24"/>
        </w:rPr>
        <w:t>届</w:t>
      </w:r>
      <w:r w:rsidR="00E25B2D">
        <w:rPr>
          <w:rFonts w:ascii="宋体" w:hAnsi="宋体" w:hint="eastAsia"/>
          <w:sz w:val="24"/>
        </w:rPr>
        <w:t>605</w:t>
      </w:r>
      <w:r w:rsidRPr="008B5191">
        <w:rPr>
          <w:rFonts w:ascii="宋体" w:hAnsi="宋体" w:hint="eastAsia"/>
          <w:sz w:val="24"/>
        </w:rPr>
        <w:t>名毕业生，共有</w:t>
      </w:r>
      <w:r w:rsidR="00E25B2D">
        <w:rPr>
          <w:rFonts w:ascii="宋体" w:hAnsi="宋体" w:hint="eastAsia"/>
          <w:sz w:val="24"/>
        </w:rPr>
        <w:t>515</w:t>
      </w:r>
      <w:r w:rsidRPr="008B5191">
        <w:rPr>
          <w:rFonts w:ascii="宋体" w:hAnsi="宋体" w:hint="eastAsia"/>
          <w:sz w:val="24"/>
        </w:rPr>
        <w:t>名毕业生已落实就业，总体初次就业率为</w:t>
      </w:r>
      <w:r w:rsidR="00E25B2D">
        <w:rPr>
          <w:rFonts w:ascii="宋体" w:hAnsi="宋体" w:hint="eastAsia"/>
          <w:sz w:val="24"/>
        </w:rPr>
        <w:t>85.12</w:t>
      </w:r>
      <w:r w:rsidRPr="008B5191">
        <w:rPr>
          <w:rFonts w:ascii="宋体" w:hAnsi="宋体" w:hint="eastAsia"/>
          <w:sz w:val="24"/>
        </w:rPr>
        <w:t>%。</w:t>
      </w:r>
    </w:p>
    <w:p w:rsidR="00E25B2D" w:rsidRPr="008B5191" w:rsidRDefault="00E25B2D" w:rsidP="008B5191">
      <w:pPr>
        <w:pStyle w:val="a3"/>
        <w:spacing w:line="360" w:lineRule="auto"/>
        <w:ind w:left="780" w:firstLineChars="0" w:firstLine="0"/>
        <w:rPr>
          <w:rFonts w:ascii="宋体" w:hAnsi="宋体"/>
          <w:sz w:val="24"/>
        </w:rPr>
      </w:pPr>
      <w:r>
        <w:rPr>
          <w:rFonts w:ascii="宋体" w:hAnsi="宋体" w:hint="eastAsia"/>
          <w:sz w:val="24"/>
        </w:rPr>
        <w:t>继续教育学院2018届302名毕业生，共有242名毕业生</w:t>
      </w:r>
      <w:r w:rsidRPr="008B5191">
        <w:rPr>
          <w:rFonts w:ascii="宋体" w:hAnsi="宋体" w:hint="eastAsia"/>
          <w:sz w:val="24"/>
        </w:rPr>
        <w:t>已落实就业，总体初次就业率为</w:t>
      </w:r>
      <w:r>
        <w:rPr>
          <w:rFonts w:ascii="宋体" w:hAnsi="宋体" w:hint="eastAsia"/>
          <w:sz w:val="24"/>
        </w:rPr>
        <w:t>80.13</w:t>
      </w:r>
      <w:r w:rsidRPr="008B5191">
        <w:rPr>
          <w:rFonts w:ascii="宋体" w:hAnsi="宋体" w:hint="eastAsia"/>
          <w:sz w:val="24"/>
        </w:rPr>
        <w:t>%。</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毕业生对落实工作满意度较高，就业质量较好</w:t>
      </w:r>
    </w:p>
    <w:p w:rsidR="008B5191" w:rsidRPr="008B5191" w:rsidRDefault="008B5191" w:rsidP="008B5191">
      <w:pPr>
        <w:pStyle w:val="a3"/>
        <w:spacing w:line="360" w:lineRule="auto"/>
        <w:ind w:left="780" w:firstLine="480"/>
        <w:rPr>
          <w:rFonts w:ascii="宋体" w:hAnsi="宋体"/>
          <w:sz w:val="24"/>
        </w:rPr>
      </w:pPr>
      <w:r w:rsidRPr="008B5191">
        <w:rPr>
          <w:rFonts w:ascii="宋体" w:hAnsi="宋体" w:hint="eastAsia"/>
          <w:sz w:val="24"/>
        </w:rPr>
        <w:t>毕业生在评价自己的客观就业质量时，重要性最高的因素是职业发展预期，其次是为工作报酬、劳动关系和工作环境。对于主观就业质量，受访毕业生则认为重要性最高的是工作氛围，其次是为工作能力是否胜任工作和职业期待吻合度。</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从就业地域来看，主要是台州市各县、市、区，少数毕业生在杭州、宁波等就业。</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从单位类型来看，主要是民营企业。毕业生落实工作主是四大行业，分别是制造业、电子商务类、教育类、金融类。</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现场招聘会是毕业生求职的主要渠道</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比例最高的三个途径依次为校园现场招聘会、求职招聘网站、直接向单位申请。</w:t>
      </w:r>
    </w:p>
    <w:p w:rsid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毕业生就业工作举措</w:t>
      </w:r>
    </w:p>
    <w:p w:rsidR="00975263" w:rsidRPr="007B4115" w:rsidRDefault="00975263" w:rsidP="00F66AE0">
      <w:pPr>
        <w:pStyle w:val="a8"/>
        <w:numPr>
          <w:ilvl w:val="0"/>
          <w:numId w:val="4"/>
        </w:numPr>
        <w:shd w:val="clear" w:color="auto" w:fill="FFFFFF"/>
        <w:spacing w:before="0" w:beforeAutospacing="0" w:after="0" w:afterAutospacing="0" w:line="360" w:lineRule="auto"/>
        <w:rPr>
          <w:rFonts w:cs="Arial"/>
          <w:color w:val="000000" w:themeColor="text1"/>
        </w:rPr>
      </w:pPr>
      <w:r>
        <w:rPr>
          <w:rFonts w:cs="Arial"/>
          <w:color w:val="000000" w:themeColor="text1"/>
        </w:rPr>
        <w:t>提前</w:t>
      </w:r>
      <w:r w:rsidRPr="007B4115">
        <w:rPr>
          <w:rFonts w:cs="Arial"/>
          <w:color w:val="000000" w:themeColor="text1"/>
        </w:rPr>
        <w:t>部署，强力推进就业创业工作。为做好毕业生就业创业工作，我们坚持就业工作“早启动、早计划、早部署、早落实”的原则，召开毕业生就业形势</w:t>
      </w:r>
      <w:r w:rsidRPr="007B4115">
        <w:rPr>
          <w:rFonts w:cs="Arial" w:hint="eastAsia"/>
          <w:color w:val="000000" w:themeColor="text1"/>
        </w:rPr>
        <w:t>分析</w:t>
      </w:r>
      <w:r w:rsidRPr="007B4115">
        <w:rPr>
          <w:rFonts w:cs="Arial"/>
          <w:color w:val="000000" w:themeColor="text1"/>
        </w:rPr>
        <w:t>会，分析当前的我</w:t>
      </w:r>
      <w:r w:rsidRPr="007B4115">
        <w:rPr>
          <w:rFonts w:cs="Arial" w:hint="eastAsia"/>
          <w:color w:val="000000" w:themeColor="text1"/>
        </w:rPr>
        <w:t>院</w:t>
      </w:r>
      <w:r w:rsidRPr="007B4115">
        <w:rPr>
          <w:rFonts w:cs="Arial"/>
          <w:color w:val="000000" w:themeColor="text1"/>
        </w:rPr>
        <w:t>毕业生总体就业形势，对下一步做好我</w:t>
      </w:r>
      <w:r w:rsidRPr="007B4115">
        <w:rPr>
          <w:rFonts w:cs="Arial" w:hint="eastAsia"/>
          <w:color w:val="000000" w:themeColor="text1"/>
        </w:rPr>
        <w:t>院</w:t>
      </w:r>
      <w:r w:rsidRPr="007B4115">
        <w:rPr>
          <w:rFonts w:cs="Arial"/>
          <w:color w:val="000000" w:themeColor="text1"/>
        </w:rPr>
        <w:t>毕业生就业创业工作</w:t>
      </w:r>
      <w:proofErr w:type="gramStart"/>
      <w:r w:rsidRPr="007B4115">
        <w:rPr>
          <w:rFonts w:cs="Arial"/>
          <w:color w:val="000000" w:themeColor="text1"/>
        </w:rPr>
        <w:t>作</w:t>
      </w:r>
      <w:proofErr w:type="gramEnd"/>
      <w:r w:rsidRPr="007B4115">
        <w:rPr>
          <w:rFonts w:cs="Arial"/>
          <w:color w:val="000000" w:themeColor="text1"/>
        </w:rPr>
        <w:t>了具体部署，有效推动了各项工作的开展。加强组织领导，制定有效措施，大力促进毕业生就业创业。</w:t>
      </w:r>
    </w:p>
    <w:p w:rsidR="00975263" w:rsidRPr="007B4115" w:rsidRDefault="00975263" w:rsidP="00F66AE0">
      <w:pPr>
        <w:pStyle w:val="a8"/>
        <w:numPr>
          <w:ilvl w:val="0"/>
          <w:numId w:val="4"/>
        </w:numPr>
        <w:shd w:val="clear" w:color="auto" w:fill="FFFFFF"/>
        <w:spacing w:before="0" w:beforeAutospacing="0" w:after="0" w:afterAutospacing="0" w:line="360" w:lineRule="auto"/>
        <w:rPr>
          <w:rFonts w:cs="Arial"/>
          <w:color w:val="000000" w:themeColor="text1"/>
        </w:rPr>
      </w:pPr>
      <w:r w:rsidRPr="007B4115">
        <w:rPr>
          <w:rFonts w:cs="Arial"/>
          <w:color w:val="000000" w:themeColor="text1"/>
        </w:rPr>
        <w:t>办好</w:t>
      </w:r>
      <w:proofErr w:type="gramStart"/>
      <w:r w:rsidRPr="007B4115">
        <w:rPr>
          <w:rFonts w:cs="Arial"/>
          <w:color w:val="000000" w:themeColor="text1"/>
        </w:rPr>
        <w:t>各类双选</w:t>
      </w:r>
      <w:proofErr w:type="gramEnd"/>
      <w:r w:rsidRPr="007B4115">
        <w:rPr>
          <w:rFonts w:cs="Arial"/>
          <w:color w:val="000000" w:themeColor="text1"/>
        </w:rPr>
        <w:t>会，促进毕业生就业。搭建需求双方交流平台，为毕业生提供更多求职机会，是促进毕业生就业的有效途径之一。我</w:t>
      </w:r>
      <w:r w:rsidRPr="007B4115">
        <w:rPr>
          <w:rFonts w:cs="Arial" w:hint="eastAsia"/>
          <w:color w:val="000000" w:themeColor="text1"/>
        </w:rPr>
        <w:t>院</w:t>
      </w:r>
      <w:r>
        <w:rPr>
          <w:rFonts w:cs="Arial"/>
          <w:color w:val="000000" w:themeColor="text1"/>
        </w:rPr>
        <w:t>为应届毕业生举办的各类</w:t>
      </w:r>
      <w:proofErr w:type="gramStart"/>
      <w:r>
        <w:rPr>
          <w:rFonts w:cs="Arial"/>
          <w:color w:val="000000" w:themeColor="text1"/>
        </w:rPr>
        <w:t>形式双</w:t>
      </w:r>
      <w:proofErr w:type="gramEnd"/>
      <w:r>
        <w:rPr>
          <w:rFonts w:cs="Arial"/>
          <w:color w:val="000000" w:themeColor="text1"/>
        </w:rPr>
        <w:t>选会，其规模继续保持增长</w:t>
      </w:r>
      <w:r>
        <w:rPr>
          <w:rFonts w:cs="Arial" w:hint="eastAsia"/>
          <w:color w:val="000000" w:themeColor="text1"/>
        </w:rPr>
        <w:t>。</w:t>
      </w:r>
      <w:r w:rsidRPr="007B4115">
        <w:rPr>
          <w:rFonts w:cs="Arial"/>
          <w:color w:val="000000" w:themeColor="text1"/>
        </w:rPr>
        <w:t>我们按照行业和专业性质举办系列“双选会”，</w:t>
      </w:r>
      <w:r w:rsidRPr="007B4115">
        <w:rPr>
          <w:rFonts w:cs="Arial" w:hint="eastAsia"/>
          <w:color w:val="000000" w:themeColor="text1"/>
        </w:rPr>
        <w:t>进班举行专场招聘会</w:t>
      </w:r>
      <w:r>
        <w:rPr>
          <w:rFonts w:cs="Arial" w:hint="eastAsia"/>
          <w:color w:val="000000" w:themeColor="text1"/>
        </w:rPr>
        <w:t>及</w:t>
      </w:r>
      <w:r w:rsidRPr="007B4115">
        <w:rPr>
          <w:rFonts w:cs="Arial" w:hint="eastAsia"/>
          <w:color w:val="000000" w:themeColor="text1"/>
        </w:rPr>
        <w:t>举办毕业生大型招聘会。</w:t>
      </w:r>
    </w:p>
    <w:p w:rsidR="00975263" w:rsidRPr="007B4115" w:rsidRDefault="00975263" w:rsidP="00F66AE0">
      <w:pPr>
        <w:pStyle w:val="a8"/>
        <w:numPr>
          <w:ilvl w:val="0"/>
          <w:numId w:val="4"/>
        </w:numPr>
        <w:shd w:val="clear" w:color="auto" w:fill="FFFFFF"/>
        <w:spacing w:before="0" w:beforeAutospacing="0" w:after="0" w:afterAutospacing="0" w:line="360" w:lineRule="auto"/>
        <w:rPr>
          <w:rFonts w:cs="Arial"/>
          <w:color w:val="000000" w:themeColor="text1"/>
        </w:rPr>
      </w:pPr>
      <w:r w:rsidRPr="007B4115">
        <w:rPr>
          <w:rFonts w:cs="Arial"/>
          <w:color w:val="000000" w:themeColor="text1"/>
        </w:rPr>
        <w:lastRenderedPageBreak/>
        <w:t>引导毕业生树立正确的就业观念。开展形式多样宣传动员工作，利用</w:t>
      </w:r>
      <w:r>
        <w:rPr>
          <w:rFonts w:cs="Arial" w:hint="eastAsia"/>
          <w:color w:val="000000" w:themeColor="text1"/>
        </w:rPr>
        <w:t>召开就业</w:t>
      </w:r>
      <w:r w:rsidRPr="007B4115">
        <w:rPr>
          <w:rFonts w:cs="Arial" w:hint="eastAsia"/>
          <w:color w:val="000000" w:themeColor="text1"/>
        </w:rPr>
        <w:t>动员会、</w:t>
      </w:r>
      <w:r w:rsidRPr="007B4115">
        <w:rPr>
          <w:rFonts w:cs="Arial"/>
          <w:color w:val="000000" w:themeColor="text1"/>
        </w:rPr>
        <w:t>短信、</w:t>
      </w:r>
      <w:proofErr w:type="gramStart"/>
      <w:r w:rsidRPr="007B4115">
        <w:rPr>
          <w:rFonts w:cs="Arial"/>
          <w:color w:val="000000" w:themeColor="text1"/>
        </w:rPr>
        <w:t>微信等</w:t>
      </w:r>
      <w:proofErr w:type="gramEnd"/>
      <w:r>
        <w:rPr>
          <w:rFonts w:cs="Arial"/>
          <w:color w:val="000000" w:themeColor="text1"/>
        </w:rPr>
        <w:t>多种渠道</w:t>
      </w:r>
      <w:r w:rsidRPr="007B4115">
        <w:rPr>
          <w:rFonts w:cs="Arial"/>
          <w:color w:val="000000" w:themeColor="text1"/>
        </w:rPr>
        <w:t>宣传，帮助毕业生了解岗位信息和政策要求。加强对毕业生的思想教育和就业教育，帮助毕业生客观认识当前的就业形势，树立正确的就业观和成才观</w:t>
      </w:r>
      <w:r>
        <w:rPr>
          <w:rFonts w:cs="Arial" w:hint="eastAsia"/>
          <w:color w:val="000000" w:themeColor="text1"/>
        </w:rPr>
        <w:t>。</w:t>
      </w:r>
    </w:p>
    <w:p w:rsidR="00975263" w:rsidRPr="007B4115" w:rsidRDefault="00975263" w:rsidP="00F66AE0">
      <w:pPr>
        <w:pStyle w:val="a8"/>
        <w:numPr>
          <w:ilvl w:val="0"/>
          <w:numId w:val="4"/>
        </w:numPr>
        <w:shd w:val="clear" w:color="auto" w:fill="FFFFFF"/>
        <w:spacing w:before="0" w:beforeAutospacing="0" w:after="0" w:afterAutospacing="0" w:line="360" w:lineRule="auto"/>
        <w:rPr>
          <w:rFonts w:cs="Arial"/>
          <w:color w:val="000000" w:themeColor="text1"/>
        </w:rPr>
      </w:pPr>
      <w:r w:rsidRPr="007B4115">
        <w:rPr>
          <w:rFonts w:cs="Arial"/>
          <w:color w:val="000000" w:themeColor="text1"/>
          <w:shd w:val="clear" w:color="auto" w:fill="FFFFFF"/>
        </w:rPr>
        <w:t>进一步健全就业统计督查机制，做好就业统计工作。毕业生就业情况开展调查和抽查，进一步掌握毕业生的就业状况、就业质量等情况，构建我</w:t>
      </w:r>
      <w:r w:rsidRPr="007B4115">
        <w:rPr>
          <w:rFonts w:cs="Arial" w:hint="eastAsia"/>
          <w:color w:val="000000" w:themeColor="text1"/>
          <w:shd w:val="clear" w:color="auto" w:fill="FFFFFF"/>
        </w:rPr>
        <w:t>院</w:t>
      </w:r>
      <w:r w:rsidRPr="007B4115">
        <w:rPr>
          <w:rFonts w:cs="Arial"/>
          <w:color w:val="000000" w:themeColor="text1"/>
          <w:shd w:val="clear" w:color="auto" w:fill="FFFFFF"/>
        </w:rPr>
        <w:t>毕业生就业情况监测和预警机制。</w:t>
      </w:r>
    </w:p>
    <w:p w:rsidR="00975263" w:rsidRPr="008B5191" w:rsidRDefault="00975263" w:rsidP="00F66AE0">
      <w:pPr>
        <w:pStyle w:val="a3"/>
        <w:numPr>
          <w:ilvl w:val="0"/>
          <w:numId w:val="4"/>
        </w:numPr>
        <w:spacing w:line="360" w:lineRule="auto"/>
        <w:ind w:firstLineChars="0"/>
        <w:rPr>
          <w:rFonts w:ascii="宋体" w:hAnsi="宋体"/>
          <w:sz w:val="24"/>
        </w:rPr>
      </w:pPr>
      <w:r w:rsidRPr="007B4115">
        <w:rPr>
          <w:rFonts w:ascii="宋体" w:hAnsi="宋体" w:cs="Arial"/>
          <w:color w:val="000000" w:themeColor="text1"/>
          <w:sz w:val="24"/>
          <w:shd w:val="clear" w:color="auto" w:fill="FFFFFF"/>
        </w:rPr>
        <w:t>强化离校未就业毕业生就业指导和服务。其尚未就业原因主要分为4种情况，第一种为已有意向就业单位;第二种为有创业意愿准备创业;第三种为目前正在择业或不确定就业单位;第四种为个人原因暂不就业。为促进离校未就业毕业生就业，对不同离校未就业毕业生群体，开展针对性的就业服务工作，深入实施离校未就业毕业生就业促进计划，并做好应届毕业生在离校阶段和离校后的信息衔接和服务接续工作</w:t>
      </w:r>
      <w:r w:rsidRPr="007B4115">
        <w:rPr>
          <w:rFonts w:ascii="宋体" w:hAnsi="宋体" w:cs="Arial" w:hint="eastAsia"/>
          <w:color w:val="000000" w:themeColor="text1"/>
          <w:sz w:val="24"/>
          <w:shd w:val="clear" w:color="auto" w:fill="FFFFFF"/>
        </w:rPr>
        <w:t>；</w:t>
      </w:r>
      <w:r w:rsidRPr="007B4115">
        <w:rPr>
          <w:rFonts w:ascii="宋体" w:hAnsi="宋体" w:cs="Arial"/>
          <w:color w:val="000000" w:themeColor="text1"/>
          <w:sz w:val="24"/>
          <w:shd w:val="clear" w:color="auto" w:fill="FFFFFF"/>
        </w:rPr>
        <w:t>配合</w:t>
      </w:r>
      <w:proofErr w:type="gramStart"/>
      <w:r w:rsidRPr="007B4115">
        <w:rPr>
          <w:rFonts w:ascii="宋体" w:hAnsi="宋体" w:cs="Arial"/>
          <w:color w:val="000000" w:themeColor="text1"/>
          <w:sz w:val="24"/>
          <w:shd w:val="clear" w:color="auto" w:fill="FFFFFF"/>
        </w:rPr>
        <w:t>人社部门</w:t>
      </w:r>
      <w:proofErr w:type="gramEnd"/>
      <w:r w:rsidRPr="007B4115">
        <w:rPr>
          <w:rFonts w:ascii="宋体" w:hAnsi="宋体" w:cs="Arial"/>
          <w:color w:val="000000" w:themeColor="text1"/>
          <w:sz w:val="24"/>
          <w:shd w:val="clear" w:color="auto" w:fill="FFFFFF"/>
        </w:rPr>
        <w:t>做好登记求职和</w:t>
      </w:r>
      <w:r w:rsidR="00A60075">
        <w:rPr>
          <w:rFonts w:ascii="宋体" w:hAnsi="宋体" w:cs="Arial" w:hint="eastAsia"/>
          <w:color w:val="000000" w:themeColor="text1"/>
          <w:sz w:val="24"/>
          <w:shd w:val="clear" w:color="auto" w:fill="FFFFFF"/>
        </w:rPr>
        <w:t>未就业</w:t>
      </w:r>
      <w:r w:rsidRPr="007B4115">
        <w:rPr>
          <w:rFonts w:ascii="宋体" w:hAnsi="宋体" w:cs="Arial"/>
          <w:color w:val="000000" w:themeColor="text1"/>
          <w:sz w:val="24"/>
          <w:shd w:val="clear" w:color="auto" w:fill="FFFFFF"/>
        </w:rPr>
        <w:t>毕业生的就业见习、职业培训、职业介绍、创业服务和落实相关扶持政策等服务活动。</w:t>
      </w:r>
    </w:p>
    <w:p w:rsidR="008B5191" w:rsidRPr="008B5191" w:rsidRDefault="008B5191" w:rsidP="008B5191">
      <w:pPr>
        <w:pStyle w:val="a3"/>
        <w:numPr>
          <w:ilvl w:val="0"/>
          <w:numId w:val="1"/>
        </w:numPr>
        <w:spacing w:line="360" w:lineRule="auto"/>
        <w:ind w:firstLineChars="0"/>
        <w:rPr>
          <w:rFonts w:ascii="宋体" w:hAnsi="宋体"/>
          <w:sz w:val="24"/>
        </w:rPr>
      </w:pPr>
      <w:r w:rsidRPr="008B5191">
        <w:rPr>
          <w:rFonts w:ascii="宋体" w:hAnsi="宋体" w:hint="eastAsia"/>
          <w:sz w:val="24"/>
        </w:rPr>
        <w:t>毕业生相关情况及就业率</w:t>
      </w:r>
    </w:p>
    <w:p w:rsidR="008B5191" w:rsidRDefault="008B5191" w:rsidP="008B5191">
      <w:pPr>
        <w:pStyle w:val="a3"/>
        <w:numPr>
          <w:ilvl w:val="0"/>
          <w:numId w:val="3"/>
        </w:numPr>
        <w:spacing w:line="360" w:lineRule="auto"/>
        <w:ind w:firstLineChars="0"/>
        <w:rPr>
          <w:rFonts w:ascii="宋体" w:hAnsi="宋体"/>
          <w:sz w:val="24"/>
        </w:rPr>
      </w:pPr>
      <w:r>
        <w:rPr>
          <w:rFonts w:ascii="宋体" w:hAnsi="宋体" w:hint="eastAsia"/>
          <w:sz w:val="24"/>
        </w:rPr>
        <w:t>就业率</w:t>
      </w:r>
      <w:bookmarkStart w:id="0" w:name="_GoBack"/>
      <w:bookmarkEnd w:id="0"/>
    </w:p>
    <w:p w:rsidR="00F66AE0" w:rsidRDefault="00F66AE0" w:rsidP="00F66AE0">
      <w:pPr>
        <w:pStyle w:val="a3"/>
        <w:numPr>
          <w:ilvl w:val="0"/>
          <w:numId w:val="5"/>
        </w:numPr>
        <w:spacing w:line="360" w:lineRule="auto"/>
        <w:ind w:firstLineChars="0"/>
        <w:rPr>
          <w:rFonts w:ascii="宋体" w:hAnsi="宋体"/>
          <w:sz w:val="24"/>
        </w:rPr>
      </w:pPr>
      <w:r>
        <w:rPr>
          <w:rFonts w:ascii="宋体" w:hAnsi="宋体" w:hint="eastAsia"/>
          <w:sz w:val="24"/>
        </w:rPr>
        <w:t>近几年高职学院就业率统计</w:t>
      </w:r>
    </w:p>
    <w:tbl>
      <w:tblPr>
        <w:tblStyle w:val="a4"/>
        <w:tblW w:w="0" w:type="auto"/>
        <w:tblInd w:w="900" w:type="dxa"/>
        <w:tblLook w:val="04A0" w:firstRow="1" w:lastRow="0" w:firstColumn="1" w:lastColumn="0" w:noHBand="0" w:noVBand="1"/>
      </w:tblPr>
      <w:tblGrid>
        <w:gridCol w:w="1643"/>
        <w:gridCol w:w="1712"/>
        <w:gridCol w:w="1713"/>
        <w:gridCol w:w="1713"/>
        <w:gridCol w:w="1713"/>
      </w:tblGrid>
      <w:tr w:rsidR="00F66AE0" w:rsidTr="00F66AE0">
        <w:trPr>
          <w:trHeight w:val="545"/>
        </w:trPr>
        <w:tc>
          <w:tcPr>
            <w:tcW w:w="164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年度</w:t>
            </w:r>
          </w:p>
        </w:tc>
        <w:tc>
          <w:tcPr>
            <w:tcW w:w="1712"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2015年</w:t>
            </w:r>
          </w:p>
        </w:tc>
        <w:tc>
          <w:tcPr>
            <w:tcW w:w="171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2016年</w:t>
            </w:r>
          </w:p>
        </w:tc>
        <w:tc>
          <w:tcPr>
            <w:tcW w:w="171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2017年</w:t>
            </w:r>
          </w:p>
        </w:tc>
        <w:tc>
          <w:tcPr>
            <w:tcW w:w="171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2018年</w:t>
            </w:r>
          </w:p>
        </w:tc>
      </w:tr>
      <w:tr w:rsidR="00F66AE0" w:rsidTr="00F66AE0">
        <w:trPr>
          <w:trHeight w:val="562"/>
        </w:trPr>
        <w:tc>
          <w:tcPr>
            <w:tcW w:w="164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就业率</w:t>
            </w:r>
          </w:p>
        </w:tc>
        <w:tc>
          <w:tcPr>
            <w:tcW w:w="1712"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81.78%</w:t>
            </w:r>
          </w:p>
        </w:tc>
        <w:tc>
          <w:tcPr>
            <w:tcW w:w="171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83.91%</w:t>
            </w:r>
          </w:p>
        </w:tc>
        <w:tc>
          <w:tcPr>
            <w:tcW w:w="171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84.96%</w:t>
            </w:r>
          </w:p>
        </w:tc>
        <w:tc>
          <w:tcPr>
            <w:tcW w:w="1713" w:type="dxa"/>
          </w:tcPr>
          <w:p w:rsidR="00F66AE0" w:rsidRDefault="00F66AE0" w:rsidP="00F66AE0">
            <w:pPr>
              <w:pStyle w:val="a3"/>
              <w:spacing w:line="360" w:lineRule="auto"/>
              <w:ind w:firstLineChars="0" w:firstLine="0"/>
              <w:jc w:val="center"/>
              <w:rPr>
                <w:rFonts w:ascii="宋体" w:hAnsi="宋体"/>
                <w:sz w:val="24"/>
              </w:rPr>
            </w:pPr>
            <w:r>
              <w:rPr>
                <w:rFonts w:ascii="宋体" w:hAnsi="宋体" w:hint="eastAsia"/>
                <w:sz w:val="24"/>
              </w:rPr>
              <w:t>85.12%</w:t>
            </w:r>
          </w:p>
        </w:tc>
      </w:tr>
    </w:tbl>
    <w:p w:rsidR="00F66AE0" w:rsidRDefault="00F66AE0" w:rsidP="00F66AE0">
      <w:pPr>
        <w:pStyle w:val="a3"/>
        <w:spacing w:line="360" w:lineRule="auto"/>
        <w:ind w:left="900" w:firstLineChars="0" w:firstLine="0"/>
        <w:jc w:val="center"/>
        <w:rPr>
          <w:rFonts w:ascii="宋体" w:hAnsi="宋体"/>
          <w:sz w:val="24"/>
        </w:rPr>
      </w:pPr>
    </w:p>
    <w:p w:rsidR="00F66AE0" w:rsidRPr="00F66AE0" w:rsidRDefault="00F66AE0" w:rsidP="00F66AE0">
      <w:pPr>
        <w:pStyle w:val="a3"/>
        <w:spacing w:line="360" w:lineRule="auto"/>
        <w:ind w:left="900" w:firstLineChars="0" w:firstLine="0"/>
        <w:rPr>
          <w:rFonts w:ascii="宋体" w:hAnsi="宋体"/>
          <w:sz w:val="24"/>
        </w:rPr>
      </w:pPr>
      <w:r>
        <w:rPr>
          <w:noProof/>
        </w:rPr>
        <w:drawing>
          <wp:inline distT="0" distB="0" distL="0" distR="0" wp14:anchorId="192B8148" wp14:editId="0F812BF3">
            <wp:extent cx="5381625" cy="2695575"/>
            <wp:effectExtent l="0" t="0" r="952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6AE0" w:rsidRDefault="00F66AE0" w:rsidP="00F66AE0">
      <w:pPr>
        <w:pStyle w:val="a3"/>
        <w:numPr>
          <w:ilvl w:val="0"/>
          <w:numId w:val="5"/>
        </w:numPr>
        <w:spacing w:line="360" w:lineRule="auto"/>
        <w:ind w:firstLineChars="0"/>
        <w:rPr>
          <w:rFonts w:ascii="宋体" w:hAnsi="宋体"/>
          <w:sz w:val="24"/>
        </w:rPr>
      </w:pPr>
      <w:r>
        <w:rPr>
          <w:rFonts w:ascii="宋体" w:hAnsi="宋体" w:hint="eastAsia"/>
          <w:sz w:val="24"/>
        </w:rPr>
        <w:lastRenderedPageBreak/>
        <w:t>2018届就业率统计</w:t>
      </w:r>
    </w:p>
    <w:p w:rsidR="008B5191" w:rsidRPr="00F66AE0" w:rsidRDefault="008B5191" w:rsidP="00F66AE0">
      <w:pPr>
        <w:spacing w:line="360" w:lineRule="auto"/>
        <w:ind w:firstLineChars="200" w:firstLine="480"/>
        <w:rPr>
          <w:rFonts w:ascii="宋体" w:hAnsi="宋体"/>
          <w:sz w:val="24"/>
        </w:rPr>
      </w:pPr>
      <w:r w:rsidRPr="00F66AE0">
        <w:rPr>
          <w:rFonts w:ascii="宋体" w:hAnsi="宋体" w:hint="eastAsia"/>
          <w:sz w:val="24"/>
        </w:rPr>
        <w:t>高职学院</w:t>
      </w:r>
      <w:r w:rsidR="00BA4CA9" w:rsidRPr="00F66AE0">
        <w:rPr>
          <w:rFonts w:ascii="宋体" w:hAnsi="宋体" w:hint="eastAsia"/>
          <w:sz w:val="24"/>
        </w:rPr>
        <w:t>201</w:t>
      </w:r>
      <w:r w:rsidR="00E25B2D" w:rsidRPr="00F66AE0">
        <w:rPr>
          <w:rFonts w:ascii="宋体" w:hAnsi="宋体" w:hint="eastAsia"/>
          <w:sz w:val="24"/>
        </w:rPr>
        <w:t>8</w:t>
      </w:r>
      <w:r w:rsidRPr="00F66AE0">
        <w:rPr>
          <w:rFonts w:ascii="宋体" w:hAnsi="宋体" w:hint="eastAsia"/>
          <w:sz w:val="24"/>
        </w:rPr>
        <w:t>届</w:t>
      </w:r>
      <w:r w:rsidR="00E25B2D" w:rsidRPr="00F66AE0">
        <w:rPr>
          <w:rFonts w:ascii="宋体" w:hAnsi="宋体" w:hint="eastAsia"/>
          <w:sz w:val="24"/>
        </w:rPr>
        <w:t>605</w:t>
      </w:r>
      <w:r w:rsidRPr="00F66AE0">
        <w:rPr>
          <w:rFonts w:ascii="宋体" w:hAnsi="宋体" w:hint="eastAsia"/>
          <w:sz w:val="24"/>
        </w:rPr>
        <w:t>名毕业生，共有</w:t>
      </w:r>
      <w:r w:rsidR="00E25B2D" w:rsidRPr="00F66AE0">
        <w:rPr>
          <w:rFonts w:ascii="宋体" w:hAnsi="宋体" w:hint="eastAsia"/>
          <w:sz w:val="24"/>
        </w:rPr>
        <w:t>515</w:t>
      </w:r>
      <w:r w:rsidRPr="00F66AE0">
        <w:rPr>
          <w:rFonts w:ascii="宋体" w:hAnsi="宋体" w:hint="eastAsia"/>
          <w:sz w:val="24"/>
        </w:rPr>
        <w:t>名毕业生已落实就业，总体初次就业率为</w:t>
      </w:r>
      <w:r w:rsidR="00E25B2D" w:rsidRPr="00F66AE0">
        <w:rPr>
          <w:rFonts w:ascii="宋体" w:hAnsi="宋体" w:hint="eastAsia"/>
          <w:sz w:val="24"/>
        </w:rPr>
        <w:t>85.12</w:t>
      </w:r>
      <w:r w:rsidRPr="00F66AE0">
        <w:rPr>
          <w:rFonts w:ascii="宋体" w:hAnsi="宋体" w:hint="eastAsia"/>
          <w:sz w:val="24"/>
        </w:rPr>
        <w:t>%。</w:t>
      </w:r>
    </w:p>
    <w:p w:rsidR="00E25B2D" w:rsidRPr="00E25B2D" w:rsidRDefault="00E25B2D" w:rsidP="00F66AE0">
      <w:pPr>
        <w:spacing w:line="360" w:lineRule="auto"/>
        <w:ind w:leftChars="200" w:left="420"/>
        <w:rPr>
          <w:rFonts w:ascii="宋体" w:hAnsi="宋体"/>
          <w:sz w:val="24"/>
        </w:rPr>
      </w:pPr>
      <w:r w:rsidRPr="00E25B2D">
        <w:rPr>
          <w:rFonts w:ascii="宋体" w:hAnsi="宋体" w:hint="eastAsia"/>
          <w:sz w:val="24"/>
        </w:rPr>
        <w:t>继续教育学院2018届302名毕业生，共有242名毕业生已落实就业，总体初次就业率为80.13%。</w:t>
      </w:r>
    </w:p>
    <w:tbl>
      <w:tblPr>
        <w:tblStyle w:val="a4"/>
        <w:tblW w:w="0" w:type="auto"/>
        <w:jc w:val="center"/>
        <w:tblInd w:w="683" w:type="dxa"/>
        <w:tblLook w:val="04A0" w:firstRow="1" w:lastRow="0" w:firstColumn="1" w:lastColumn="0" w:noHBand="0" w:noVBand="1"/>
      </w:tblPr>
      <w:tblGrid>
        <w:gridCol w:w="2102"/>
        <w:gridCol w:w="2090"/>
        <w:gridCol w:w="2090"/>
        <w:gridCol w:w="2125"/>
      </w:tblGrid>
      <w:tr w:rsidR="008B5191" w:rsidTr="008B5191">
        <w:trPr>
          <w:trHeight w:val="458"/>
          <w:jc w:val="center"/>
        </w:trPr>
        <w:tc>
          <w:tcPr>
            <w:tcW w:w="2102" w:type="dxa"/>
          </w:tcPr>
          <w:p w:rsidR="008B5191" w:rsidRDefault="00E25B2D" w:rsidP="00C11120">
            <w:pPr>
              <w:pStyle w:val="a3"/>
              <w:spacing w:line="360" w:lineRule="auto"/>
              <w:ind w:firstLineChars="0" w:firstLine="0"/>
              <w:jc w:val="center"/>
              <w:rPr>
                <w:rFonts w:ascii="宋体" w:hAnsi="宋体"/>
                <w:sz w:val="24"/>
              </w:rPr>
            </w:pPr>
            <w:r>
              <w:rPr>
                <w:rFonts w:ascii="宋体" w:hAnsi="宋体" w:hint="eastAsia"/>
                <w:sz w:val="24"/>
              </w:rPr>
              <w:t>学院</w:t>
            </w:r>
          </w:p>
        </w:tc>
        <w:tc>
          <w:tcPr>
            <w:tcW w:w="2090" w:type="dxa"/>
          </w:tcPr>
          <w:p w:rsidR="008B5191" w:rsidRDefault="008B5191" w:rsidP="00C11120">
            <w:pPr>
              <w:pStyle w:val="a3"/>
              <w:spacing w:line="360" w:lineRule="auto"/>
              <w:ind w:firstLineChars="0" w:firstLine="0"/>
              <w:jc w:val="center"/>
              <w:rPr>
                <w:rFonts w:ascii="宋体" w:hAnsi="宋体"/>
                <w:sz w:val="24"/>
              </w:rPr>
            </w:pPr>
            <w:r>
              <w:rPr>
                <w:rFonts w:ascii="宋体" w:hAnsi="宋体" w:hint="eastAsia"/>
                <w:sz w:val="24"/>
              </w:rPr>
              <w:t>毕业生人数</w:t>
            </w:r>
          </w:p>
        </w:tc>
        <w:tc>
          <w:tcPr>
            <w:tcW w:w="2090" w:type="dxa"/>
          </w:tcPr>
          <w:p w:rsidR="008B5191" w:rsidRDefault="008B5191" w:rsidP="00C11120">
            <w:pPr>
              <w:pStyle w:val="a3"/>
              <w:spacing w:line="360" w:lineRule="auto"/>
              <w:ind w:firstLineChars="0" w:firstLine="0"/>
              <w:jc w:val="center"/>
              <w:rPr>
                <w:rFonts w:ascii="宋体" w:hAnsi="宋体"/>
                <w:sz w:val="24"/>
              </w:rPr>
            </w:pPr>
            <w:r>
              <w:rPr>
                <w:rFonts w:ascii="宋体" w:hAnsi="宋体" w:hint="eastAsia"/>
                <w:sz w:val="24"/>
              </w:rPr>
              <w:t>就业人数</w:t>
            </w:r>
          </w:p>
        </w:tc>
        <w:tc>
          <w:tcPr>
            <w:tcW w:w="2125" w:type="dxa"/>
          </w:tcPr>
          <w:p w:rsidR="008B5191" w:rsidRDefault="008B5191" w:rsidP="00C11120">
            <w:pPr>
              <w:pStyle w:val="a3"/>
              <w:spacing w:line="360" w:lineRule="auto"/>
              <w:ind w:firstLineChars="0" w:firstLine="0"/>
              <w:jc w:val="center"/>
              <w:rPr>
                <w:rFonts w:ascii="宋体" w:hAnsi="宋体"/>
                <w:sz w:val="24"/>
              </w:rPr>
            </w:pPr>
            <w:r>
              <w:rPr>
                <w:rFonts w:ascii="宋体" w:hAnsi="宋体" w:hint="eastAsia"/>
                <w:sz w:val="24"/>
              </w:rPr>
              <w:t>就业率</w:t>
            </w:r>
          </w:p>
        </w:tc>
      </w:tr>
      <w:tr w:rsidR="008B5191" w:rsidTr="008B5191">
        <w:trPr>
          <w:trHeight w:val="458"/>
          <w:jc w:val="center"/>
        </w:trPr>
        <w:tc>
          <w:tcPr>
            <w:tcW w:w="2102" w:type="dxa"/>
          </w:tcPr>
          <w:p w:rsidR="008B5191" w:rsidRDefault="00E25B2D" w:rsidP="00C11120">
            <w:pPr>
              <w:pStyle w:val="a3"/>
              <w:spacing w:line="360" w:lineRule="auto"/>
              <w:ind w:firstLineChars="0" w:firstLine="0"/>
              <w:jc w:val="center"/>
              <w:rPr>
                <w:rFonts w:ascii="宋体" w:hAnsi="宋体"/>
                <w:sz w:val="24"/>
              </w:rPr>
            </w:pPr>
            <w:r>
              <w:rPr>
                <w:rFonts w:ascii="宋体" w:hAnsi="宋体" w:hint="eastAsia"/>
                <w:sz w:val="24"/>
              </w:rPr>
              <w:t>高职学院</w:t>
            </w:r>
          </w:p>
        </w:tc>
        <w:tc>
          <w:tcPr>
            <w:tcW w:w="2090" w:type="dxa"/>
          </w:tcPr>
          <w:p w:rsidR="008B5191" w:rsidRDefault="006670B2" w:rsidP="00C11120">
            <w:pPr>
              <w:pStyle w:val="a3"/>
              <w:spacing w:line="360" w:lineRule="auto"/>
              <w:ind w:firstLineChars="0" w:firstLine="0"/>
              <w:jc w:val="center"/>
              <w:rPr>
                <w:rFonts w:ascii="宋体" w:hAnsi="宋体"/>
                <w:sz w:val="24"/>
              </w:rPr>
            </w:pPr>
            <w:r>
              <w:rPr>
                <w:rFonts w:ascii="宋体" w:hAnsi="宋体" w:hint="eastAsia"/>
                <w:sz w:val="24"/>
              </w:rPr>
              <w:t>605</w:t>
            </w:r>
          </w:p>
        </w:tc>
        <w:tc>
          <w:tcPr>
            <w:tcW w:w="2090" w:type="dxa"/>
          </w:tcPr>
          <w:p w:rsidR="008B5191" w:rsidRDefault="00E25B2D" w:rsidP="00C11120">
            <w:pPr>
              <w:pStyle w:val="a3"/>
              <w:spacing w:line="360" w:lineRule="auto"/>
              <w:ind w:firstLineChars="0" w:firstLine="0"/>
              <w:jc w:val="center"/>
              <w:rPr>
                <w:rFonts w:ascii="宋体" w:hAnsi="宋体"/>
                <w:sz w:val="24"/>
              </w:rPr>
            </w:pPr>
            <w:r>
              <w:rPr>
                <w:rFonts w:ascii="宋体" w:hAnsi="宋体" w:hint="eastAsia"/>
                <w:sz w:val="24"/>
              </w:rPr>
              <w:t>515</w:t>
            </w:r>
          </w:p>
        </w:tc>
        <w:tc>
          <w:tcPr>
            <w:tcW w:w="2125" w:type="dxa"/>
          </w:tcPr>
          <w:p w:rsidR="008B5191" w:rsidRDefault="00E25B2D" w:rsidP="00C11120">
            <w:pPr>
              <w:pStyle w:val="a3"/>
              <w:spacing w:line="360" w:lineRule="auto"/>
              <w:ind w:firstLineChars="0" w:firstLine="0"/>
              <w:jc w:val="center"/>
              <w:rPr>
                <w:rFonts w:ascii="宋体" w:hAnsi="宋体"/>
                <w:sz w:val="24"/>
              </w:rPr>
            </w:pPr>
            <w:r>
              <w:rPr>
                <w:rFonts w:ascii="宋体" w:hAnsi="宋体" w:hint="eastAsia"/>
                <w:sz w:val="24"/>
              </w:rPr>
              <w:t>85.12</w:t>
            </w:r>
            <w:r w:rsidR="008B5191">
              <w:rPr>
                <w:rFonts w:ascii="宋体" w:hAnsi="宋体" w:hint="eastAsia"/>
                <w:sz w:val="24"/>
              </w:rPr>
              <w:t>%</w:t>
            </w:r>
          </w:p>
        </w:tc>
      </w:tr>
      <w:tr w:rsidR="00E25B2D" w:rsidTr="008B5191">
        <w:trPr>
          <w:trHeight w:val="458"/>
          <w:jc w:val="center"/>
        </w:trPr>
        <w:tc>
          <w:tcPr>
            <w:tcW w:w="2102" w:type="dxa"/>
          </w:tcPr>
          <w:p w:rsidR="00E25B2D" w:rsidRDefault="00E25B2D" w:rsidP="00C11120">
            <w:pPr>
              <w:pStyle w:val="a3"/>
              <w:spacing w:line="360" w:lineRule="auto"/>
              <w:ind w:firstLineChars="0" w:firstLine="0"/>
              <w:jc w:val="center"/>
              <w:rPr>
                <w:rFonts w:ascii="宋体" w:hAnsi="宋体"/>
                <w:sz w:val="24"/>
              </w:rPr>
            </w:pPr>
            <w:r>
              <w:rPr>
                <w:rFonts w:ascii="宋体" w:hAnsi="宋体" w:hint="eastAsia"/>
                <w:sz w:val="24"/>
              </w:rPr>
              <w:t>继续教育学院</w:t>
            </w:r>
          </w:p>
        </w:tc>
        <w:tc>
          <w:tcPr>
            <w:tcW w:w="2090" w:type="dxa"/>
          </w:tcPr>
          <w:p w:rsidR="00E25B2D" w:rsidRDefault="00E25B2D" w:rsidP="00C11120">
            <w:pPr>
              <w:pStyle w:val="a3"/>
              <w:spacing w:line="360" w:lineRule="auto"/>
              <w:ind w:firstLineChars="0" w:firstLine="0"/>
              <w:jc w:val="center"/>
              <w:rPr>
                <w:rFonts w:ascii="宋体" w:hAnsi="宋体"/>
                <w:sz w:val="24"/>
              </w:rPr>
            </w:pPr>
            <w:r>
              <w:rPr>
                <w:rFonts w:ascii="宋体" w:hAnsi="宋体" w:hint="eastAsia"/>
                <w:sz w:val="24"/>
              </w:rPr>
              <w:t>302</w:t>
            </w:r>
          </w:p>
        </w:tc>
        <w:tc>
          <w:tcPr>
            <w:tcW w:w="2090" w:type="dxa"/>
          </w:tcPr>
          <w:p w:rsidR="00E25B2D" w:rsidRDefault="00E25B2D" w:rsidP="00C11120">
            <w:pPr>
              <w:pStyle w:val="a3"/>
              <w:spacing w:line="360" w:lineRule="auto"/>
              <w:ind w:firstLineChars="0" w:firstLine="0"/>
              <w:jc w:val="center"/>
              <w:rPr>
                <w:rFonts w:ascii="宋体" w:hAnsi="宋体"/>
                <w:sz w:val="24"/>
              </w:rPr>
            </w:pPr>
            <w:r>
              <w:rPr>
                <w:rFonts w:ascii="宋体" w:hAnsi="宋体" w:hint="eastAsia"/>
                <w:sz w:val="24"/>
              </w:rPr>
              <w:t>242</w:t>
            </w:r>
          </w:p>
        </w:tc>
        <w:tc>
          <w:tcPr>
            <w:tcW w:w="2125" w:type="dxa"/>
          </w:tcPr>
          <w:p w:rsidR="00E25B2D" w:rsidRDefault="00E25B2D" w:rsidP="00C11120">
            <w:pPr>
              <w:pStyle w:val="a3"/>
              <w:spacing w:line="360" w:lineRule="auto"/>
              <w:ind w:firstLineChars="0" w:firstLine="0"/>
              <w:jc w:val="center"/>
              <w:rPr>
                <w:rFonts w:ascii="宋体" w:hAnsi="宋体"/>
                <w:sz w:val="24"/>
              </w:rPr>
            </w:pPr>
            <w:r>
              <w:rPr>
                <w:rFonts w:ascii="宋体" w:hAnsi="宋体" w:hint="eastAsia"/>
                <w:sz w:val="24"/>
              </w:rPr>
              <w:t>80.13</w:t>
            </w:r>
            <w:r w:rsidR="00C11120">
              <w:rPr>
                <w:rFonts w:ascii="宋体" w:hAnsi="宋体" w:hint="eastAsia"/>
                <w:sz w:val="24"/>
              </w:rPr>
              <w:t>%</w:t>
            </w:r>
          </w:p>
        </w:tc>
      </w:tr>
    </w:tbl>
    <w:p w:rsidR="008B5191" w:rsidRPr="008B5191" w:rsidRDefault="00E25B2D" w:rsidP="008B5191">
      <w:pPr>
        <w:pStyle w:val="a3"/>
        <w:numPr>
          <w:ilvl w:val="0"/>
          <w:numId w:val="3"/>
        </w:numPr>
        <w:spacing w:line="360" w:lineRule="auto"/>
        <w:ind w:firstLineChars="0"/>
        <w:rPr>
          <w:rFonts w:ascii="宋体" w:hAnsi="宋体"/>
          <w:sz w:val="24"/>
        </w:rPr>
      </w:pPr>
      <w:r>
        <w:rPr>
          <w:rFonts w:ascii="宋体" w:hAnsi="宋体" w:hint="eastAsia"/>
          <w:sz w:val="24"/>
        </w:rPr>
        <w:t>高职学院</w:t>
      </w:r>
      <w:r w:rsidR="000B2622">
        <w:rPr>
          <w:rFonts w:ascii="宋体" w:hAnsi="宋体" w:hint="eastAsia"/>
          <w:sz w:val="24"/>
        </w:rPr>
        <w:t>毕业生系</w:t>
      </w:r>
      <w:r w:rsidR="008B5191" w:rsidRPr="008B5191">
        <w:rPr>
          <w:rFonts w:ascii="宋体" w:hAnsi="宋体" w:hint="eastAsia"/>
          <w:sz w:val="24"/>
        </w:rPr>
        <w:t>分布情况</w:t>
      </w:r>
      <w:r w:rsidR="008B5191">
        <w:rPr>
          <w:rFonts w:ascii="宋体" w:hAnsi="宋体" w:hint="eastAsia"/>
          <w:sz w:val="24"/>
        </w:rPr>
        <w:t>及就业率</w:t>
      </w:r>
    </w:p>
    <w:p w:rsidR="008B5191" w:rsidRDefault="00F66AE0" w:rsidP="00F66AE0">
      <w:pPr>
        <w:pStyle w:val="a3"/>
        <w:spacing w:line="360" w:lineRule="auto"/>
        <w:ind w:left="780" w:firstLineChars="0" w:firstLine="0"/>
        <w:rPr>
          <w:rFonts w:ascii="宋体" w:hAnsi="宋体"/>
          <w:sz w:val="24"/>
        </w:rPr>
      </w:pPr>
      <w:r>
        <w:rPr>
          <w:noProof/>
        </w:rPr>
        <w:drawing>
          <wp:inline distT="0" distB="0" distL="0" distR="0" wp14:anchorId="4468DBE2" wp14:editId="6DCF6ECF">
            <wp:extent cx="5057775" cy="30194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5191" w:rsidRDefault="00F66AE0" w:rsidP="00F66AE0">
      <w:pPr>
        <w:pStyle w:val="a3"/>
        <w:spacing w:line="360" w:lineRule="auto"/>
        <w:ind w:left="780" w:firstLineChars="0" w:firstLine="0"/>
        <w:rPr>
          <w:rFonts w:ascii="宋体" w:hAnsi="宋体"/>
          <w:sz w:val="24"/>
        </w:rPr>
      </w:pPr>
      <w:r>
        <w:rPr>
          <w:noProof/>
        </w:rPr>
        <w:drawing>
          <wp:inline distT="0" distB="0" distL="0" distR="0" wp14:anchorId="222FC1EA" wp14:editId="2EF6D0E5">
            <wp:extent cx="5086350" cy="30480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5263" w:rsidRPr="00975263" w:rsidRDefault="008B5191" w:rsidP="00975263">
      <w:pPr>
        <w:pStyle w:val="a3"/>
        <w:numPr>
          <w:ilvl w:val="0"/>
          <w:numId w:val="3"/>
        </w:numPr>
        <w:spacing w:line="360" w:lineRule="auto"/>
        <w:ind w:firstLineChars="0"/>
        <w:rPr>
          <w:rFonts w:ascii="宋体" w:hAnsi="宋体"/>
          <w:sz w:val="24"/>
        </w:rPr>
      </w:pPr>
      <w:r>
        <w:rPr>
          <w:rFonts w:ascii="宋体" w:hAnsi="宋体" w:hint="eastAsia"/>
          <w:sz w:val="24"/>
        </w:rPr>
        <w:lastRenderedPageBreak/>
        <w:t>毕业生专业就业率统计</w:t>
      </w:r>
    </w:p>
    <w:tbl>
      <w:tblPr>
        <w:tblW w:w="8141" w:type="dxa"/>
        <w:tblInd w:w="856" w:type="dxa"/>
        <w:tblLook w:val="04A0" w:firstRow="1" w:lastRow="0" w:firstColumn="1" w:lastColumn="0" w:noHBand="0" w:noVBand="1"/>
      </w:tblPr>
      <w:tblGrid>
        <w:gridCol w:w="1808"/>
        <w:gridCol w:w="1132"/>
        <w:gridCol w:w="1468"/>
        <w:gridCol w:w="2259"/>
        <w:gridCol w:w="1474"/>
      </w:tblGrid>
      <w:tr w:rsidR="00BA4CA9" w:rsidRPr="007B4115" w:rsidTr="00F66AE0">
        <w:trPr>
          <w:trHeight w:val="482"/>
        </w:trPr>
        <w:tc>
          <w:tcPr>
            <w:tcW w:w="81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CA9" w:rsidRPr="007B4115" w:rsidRDefault="00F66AE0" w:rsidP="00E25B2D">
            <w:pPr>
              <w:widowControl/>
              <w:jc w:val="center"/>
              <w:rPr>
                <w:rFonts w:ascii="宋体" w:hAnsi="宋体" w:cs="宋体"/>
                <w:color w:val="000000"/>
                <w:kern w:val="0"/>
                <w:sz w:val="24"/>
              </w:rPr>
            </w:pPr>
            <w:r>
              <w:rPr>
                <w:rFonts w:ascii="宋体" w:hAnsi="宋体" w:cs="宋体" w:hint="eastAsia"/>
                <w:color w:val="000000"/>
                <w:kern w:val="0"/>
                <w:sz w:val="24"/>
              </w:rPr>
              <w:t>2018</w:t>
            </w:r>
            <w:r w:rsidR="00BA4CA9">
              <w:rPr>
                <w:rFonts w:ascii="宋体" w:hAnsi="宋体" w:cs="宋体" w:hint="eastAsia"/>
                <w:color w:val="000000"/>
                <w:kern w:val="0"/>
                <w:sz w:val="24"/>
              </w:rPr>
              <w:t>届</w:t>
            </w:r>
            <w:r>
              <w:rPr>
                <w:rFonts w:ascii="宋体" w:hAnsi="宋体" w:cs="宋体" w:hint="eastAsia"/>
                <w:color w:val="000000"/>
                <w:kern w:val="0"/>
                <w:sz w:val="24"/>
              </w:rPr>
              <w:t>高职学院</w:t>
            </w:r>
            <w:r w:rsidR="00BA4CA9" w:rsidRPr="007B4115">
              <w:rPr>
                <w:rFonts w:ascii="宋体" w:hAnsi="宋体" w:cs="宋体" w:hint="eastAsia"/>
                <w:color w:val="000000"/>
                <w:kern w:val="0"/>
                <w:sz w:val="24"/>
              </w:rPr>
              <w:t>毕业生专业就业率</w:t>
            </w:r>
          </w:p>
        </w:tc>
      </w:tr>
      <w:tr w:rsidR="00BA4CA9" w:rsidRPr="007B4115" w:rsidTr="00F66AE0">
        <w:trPr>
          <w:trHeight w:val="508"/>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宋体"/>
                <w:color w:val="000000"/>
                <w:kern w:val="0"/>
                <w:sz w:val="24"/>
              </w:rPr>
            </w:pPr>
            <w:r w:rsidRPr="007B4115">
              <w:rPr>
                <w:rFonts w:ascii="宋体" w:hAnsi="宋体" w:cs="宋体" w:hint="eastAsia"/>
                <w:color w:val="000000"/>
                <w:kern w:val="0"/>
                <w:sz w:val="24"/>
              </w:rPr>
              <w:t>专业</w:t>
            </w:r>
          </w:p>
        </w:tc>
        <w:tc>
          <w:tcPr>
            <w:tcW w:w="1132"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宋体"/>
                <w:color w:val="000000"/>
                <w:kern w:val="0"/>
                <w:sz w:val="24"/>
              </w:rPr>
            </w:pPr>
            <w:r w:rsidRPr="007B4115">
              <w:rPr>
                <w:rFonts w:ascii="宋体" w:hAnsi="宋体" w:cs="宋体" w:hint="eastAsia"/>
                <w:color w:val="000000"/>
                <w:kern w:val="0"/>
                <w:sz w:val="24"/>
              </w:rPr>
              <w:t>毕业生</w:t>
            </w:r>
          </w:p>
        </w:tc>
        <w:tc>
          <w:tcPr>
            <w:tcW w:w="1468"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宋体"/>
                <w:color w:val="000000"/>
                <w:kern w:val="0"/>
                <w:sz w:val="24"/>
              </w:rPr>
            </w:pPr>
            <w:r w:rsidRPr="007B4115">
              <w:rPr>
                <w:rFonts w:ascii="宋体" w:hAnsi="宋体" w:cs="宋体" w:hint="eastAsia"/>
                <w:color w:val="000000"/>
                <w:kern w:val="0"/>
                <w:sz w:val="24"/>
              </w:rPr>
              <w:t>就业人数</w:t>
            </w:r>
          </w:p>
        </w:tc>
        <w:tc>
          <w:tcPr>
            <w:tcW w:w="2259"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宋体"/>
                <w:color w:val="000000"/>
                <w:kern w:val="0"/>
                <w:sz w:val="24"/>
              </w:rPr>
            </w:pPr>
            <w:r w:rsidRPr="007B4115">
              <w:rPr>
                <w:rFonts w:ascii="宋体" w:hAnsi="宋体" w:cs="宋体" w:hint="eastAsia"/>
                <w:color w:val="000000"/>
                <w:kern w:val="0"/>
                <w:sz w:val="24"/>
              </w:rPr>
              <w:t>专业就业率</w:t>
            </w:r>
          </w:p>
        </w:tc>
        <w:tc>
          <w:tcPr>
            <w:tcW w:w="1474"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宋体"/>
                <w:color w:val="000000"/>
                <w:kern w:val="0"/>
                <w:sz w:val="24"/>
              </w:rPr>
            </w:pPr>
            <w:r w:rsidRPr="007B4115">
              <w:rPr>
                <w:rFonts w:ascii="宋体" w:hAnsi="宋体" w:cs="宋体" w:hint="eastAsia"/>
                <w:color w:val="000000"/>
                <w:kern w:val="0"/>
                <w:sz w:val="24"/>
              </w:rPr>
              <w:t>备注</w:t>
            </w: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会计</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146</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124</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84.93%</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电子商务</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102</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87</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85.29%</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工商管理</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9</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88.89%</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营销与策划</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13</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11</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84.62%</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金融</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17</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14</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82.35%</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机电一体化</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59</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50</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84.75%</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建筑</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28</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24</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85.71%</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计算机</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24</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20</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83.33%</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学前教育</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117</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100</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85.47%</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广告设计</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41</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35</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85.37%</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F66AE0" w:rsidRPr="007B4115" w:rsidTr="00F66AE0">
        <w:trPr>
          <w:trHeight w:val="566"/>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装潢设计</w:t>
            </w:r>
          </w:p>
        </w:tc>
        <w:tc>
          <w:tcPr>
            <w:tcW w:w="1132"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49</w:t>
            </w:r>
          </w:p>
        </w:tc>
        <w:tc>
          <w:tcPr>
            <w:tcW w:w="1468"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42</w:t>
            </w:r>
          </w:p>
        </w:tc>
        <w:tc>
          <w:tcPr>
            <w:tcW w:w="2259" w:type="dxa"/>
            <w:tcBorders>
              <w:top w:val="nil"/>
              <w:left w:val="nil"/>
              <w:bottom w:val="single" w:sz="4" w:space="0" w:color="auto"/>
              <w:right w:val="single" w:sz="4" w:space="0" w:color="auto"/>
            </w:tcBorders>
            <w:shd w:val="clear" w:color="auto" w:fill="auto"/>
            <w:vAlign w:val="center"/>
            <w:hideMark/>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85.71%</w:t>
            </w:r>
          </w:p>
        </w:tc>
        <w:tc>
          <w:tcPr>
            <w:tcW w:w="1474" w:type="dxa"/>
            <w:tcBorders>
              <w:top w:val="nil"/>
              <w:left w:val="nil"/>
              <w:bottom w:val="single" w:sz="4" w:space="0" w:color="auto"/>
              <w:right w:val="single" w:sz="4" w:space="0" w:color="auto"/>
            </w:tcBorders>
            <w:shd w:val="clear" w:color="auto" w:fill="auto"/>
            <w:vAlign w:val="center"/>
            <w:hideMark/>
          </w:tcPr>
          <w:p w:rsidR="00F66AE0" w:rsidRPr="007B4115" w:rsidRDefault="00F66AE0" w:rsidP="00E25B2D">
            <w:pPr>
              <w:widowControl/>
              <w:jc w:val="center"/>
              <w:rPr>
                <w:rFonts w:ascii="宋体" w:hAnsi="宋体" w:cs="Arial"/>
                <w:color w:val="000000"/>
                <w:kern w:val="0"/>
                <w:sz w:val="24"/>
              </w:rPr>
            </w:pPr>
          </w:p>
        </w:tc>
      </w:tr>
      <w:tr w:rsidR="00BA4CA9" w:rsidRPr="007B4115" w:rsidTr="00F66AE0">
        <w:trPr>
          <w:trHeight w:val="537"/>
        </w:trPr>
        <w:tc>
          <w:tcPr>
            <w:tcW w:w="180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宋体"/>
                <w:color w:val="000000"/>
                <w:kern w:val="0"/>
                <w:sz w:val="24"/>
              </w:rPr>
            </w:pPr>
            <w:r w:rsidRPr="007B4115">
              <w:rPr>
                <w:rFonts w:ascii="宋体" w:hAnsi="宋体" w:cs="宋体" w:hint="eastAsia"/>
                <w:color w:val="000000"/>
                <w:kern w:val="0"/>
                <w:sz w:val="24"/>
              </w:rPr>
              <w:t>小计</w:t>
            </w:r>
          </w:p>
        </w:tc>
        <w:tc>
          <w:tcPr>
            <w:tcW w:w="1132" w:type="dxa"/>
            <w:tcBorders>
              <w:top w:val="nil"/>
              <w:left w:val="nil"/>
              <w:bottom w:val="single" w:sz="4" w:space="0" w:color="auto"/>
              <w:right w:val="single" w:sz="4" w:space="0" w:color="auto"/>
            </w:tcBorders>
            <w:shd w:val="clear" w:color="auto" w:fill="auto"/>
            <w:vAlign w:val="center"/>
            <w:hideMark/>
          </w:tcPr>
          <w:p w:rsidR="00BA4CA9" w:rsidRPr="007B4115" w:rsidRDefault="00F66AE0" w:rsidP="00E25B2D">
            <w:pPr>
              <w:widowControl/>
              <w:jc w:val="center"/>
              <w:rPr>
                <w:rFonts w:ascii="宋体" w:hAnsi="宋体" w:cs="Arial"/>
                <w:color w:val="000000"/>
                <w:kern w:val="0"/>
                <w:sz w:val="24"/>
              </w:rPr>
            </w:pPr>
            <w:r>
              <w:rPr>
                <w:rFonts w:ascii="宋体" w:hAnsi="宋体" w:cs="Arial" w:hint="eastAsia"/>
                <w:color w:val="000000"/>
                <w:kern w:val="0"/>
                <w:sz w:val="24"/>
              </w:rPr>
              <w:t>605</w:t>
            </w:r>
          </w:p>
        </w:tc>
        <w:tc>
          <w:tcPr>
            <w:tcW w:w="1468" w:type="dxa"/>
            <w:tcBorders>
              <w:top w:val="nil"/>
              <w:left w:val="nil"/>
              <w:bottom w:val="single" w:sz="4" w:space="0" w:color="auto"/>
              <w:right w:val="single" w:sz="4" w:space="0" w:color="auto"/>
            </w:tcBorders>
            <w:shd w:val="clear" w:color="auto" w:fill="auto"/>
            <w:vAlign w:val="center"/>
            <w:hideMark/>
          </w:tcPr>
          <w:p w:rsidR="00BA4CA9" w:rsidRPr="007B4115" w:rsidRDefault="00F66AE0" w:rsidP="00E25B2D">
            <w:pPr>
              <w:widowControl/>
              <w:jc w:val="center"/>
              <w:rPr>
                <w:rFonts w:ascii="宋体" w:hAnsi="宋体" w:cs="Arial"/>
                <w:color w:val="000000"/>
                <w:kern w:val="0"/>
                <w:sz w:val="24"/>
              </w:rPr>
            </w:pPr>
            <w:r>
              <w:rPr>
                <w:rFonts w:ascii="宋体" w:hAnsi="宋体" w:cs="Arial" w:hint="eastAsia"/>
                <w:color w:val="000000"/>
                <w:kern w:val="0"/>
                <w:sz w:val="24"/>
              </w:rPr>
              <w:t>515</w:t>
            </w:r>
          </w:p>
        </w:tc>
        <w:tc>
          <w:tcPr>
            <w:tcW w:w="2259" w:type="dxa"/>
            <w:tcBorders>
              <w:top w:val="nil"/>
              <w:left w:val="nil"/>
              <w:bottom w:val="single" w:sz="4" w:space="0" w:color="auto"/>
              <w:right w:val="single" w:sz="4" w:space="0" w:color="auto"/>
            </w:tcBorders>
            <w:shd w:val="clear" w:color="auto" w:fill="auto"/>
            <w:vAlign w:val="center"/>
            <w:hideMark/>
          </w:tcPr>
          <w:p w:rsidR="00BA4CA9" w:rsidRPr="007B4115" w:rsidRDefault="00F66AE0" w:rsidP="00E25B2D">
            <w:pPr>
              <w:widowControl/>
              <w:jc w:val="center"/>
              <w:rPr>
                <w:rFonts w:ascii="宋体" w:hAnsi="宋体" w:cs="Arial"/>
                <w:color w:val="000000"/>
                <w:kern w:val="0"/>
                <w:sz w:val="24"/>
              </w:rPr>
            </w:pPr>
            <w:r>
              <w:rPr>
                <w:rFonts w:ascii="宋体" w:hAnsi="宋体" w:cs="Arial" w:hint="eastAsia"/>
                <w:color w:val="000000"/>
                <w:kern w:val="0"/>
                <w:sz w:val="24"/>
              </w:rPr>
              <w:t>85.12</w:t>
            </w:r>
            <w:r w:rsidR="00BA4CA9" w:rsidRPr="007B4115">
              <w:rPr>
                <w:rFonts w:ascii="宋体" w:hAnsi="宋体" w:cs="Arial"/>
                <w:color w:val="000000"/>
                <w:kern w:val="0"/>
                <w:sz w:val="24"/>
              </w:rPr>
              <w:t>%</w:t>
            </w:r>
          </w:p>
        </w:tc>
        <w:tc>
          <w:tcPr>
            <w:tcW w:w="1474"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E25B2D">
            <w:pPr>
              <w:widowControl/>
              <w:jc w:val="center"/>
              <w:rPr>
                <w:rFonts w:ascii="宋体" w:hAnsi="宋体" w:cs="Arial"/>
                <w:color w:val="000000"/>
                <w:kern w:val="0"/>
                <w:sz w:val="24"/>
              </w:rPr>
            </w:pPr>
          </w:p>
        </w:tc>
      </w:tr>
    </w:tbl>
    <w:p w:rsidR="008B5191" w:rsidRPr="00BA4CA9" w:rsidRDefault="008B5191" w:rsidP="00BA4CA9">
      <w:pPr>
        <w:spacing w:line="360" w:lineRule="auto"/>
        <w:rPr>
          <w:rFonts w:ascii="宋体" w:hAnsi="宋体"/>
          <w:sz w:val="24"/>
        </w:rPr>
      </w:pPr>
    </w:p>
    <w:p w:rsidR="008B5191" w:rsidRDefault="00F66AE0" w:rsidP="00F66AE0">
      <w:pPr>
        <w:spacing w:line="360" w:lineRule="auto"/>
        <w:jc w:val="center"/>
        <w:rPr>
          <w:rFonts w:ascii="宋体" w:hAnsi="宋体"/>
          <w:sz w:val="24"/>
        </w:rPr>
      </w:pPr>
      <w:r>
        <w:rPr>
          <w:noProof/>
        </w:rPr>
        <w:drawing>
          <wp:inline distT="0" distB="0" distL="0" distR="0" wp14:anchorId="5353D372" wp14:editId="2663869E">
            <wp:extent cx="5219700" cy="326707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6AE0" w:rsidRDefault="00F66AE0" w:rsidP="008B5191">
      <w:pPr>
        <w:spacing w:line="360" w:lineRule="auto"/>
        <w:jc w:val="center"/>
        <w:rPr>
          <w:rFonts w:ascii="宋体" w:hAnsi="宋体"/>
          <w:sz w:val="24"/>
        </w:rPr>
      </w:pPr>
    </w:p>
    <w:tbl>
      <w:tblPr>
        <w:tblStyle w:val="a4"/>
        <w:tblW w:w="0" w:type="auto"/>
        <w:jc w:val="center"/>
        <w:tblLook w:val="04A0" w:firstRow="1" w:lastRow="0" w:firstColumn="1" w:lastColumn="0" w:noHBand="0" w:noVBand="1"/>
      </w:tblPr>
      <w:tblGrid>
        <w:gridCol w:w="1668"/>
        <w:gridCol w:w="1668"/>
        <w:gridCol w:w="1669"/>
        <w:gridCol w:w="1669"/>
        <w:gridCol w:w="1671"/>
      </w:tblGrid>
      <w:tr w:rsidR="00F66AE0" w:rsidTr="00F66AE0">
        <w:trPr>
          <w:trHeight w:val="468"/>
          <w:jc w:val="center"/>
        </w:trPr>
        <w:tc>
          <w:tcPr>
            <w:tcW w:w="8345" w:type="dxa"/>
            <w:gridSpan w:val="5"/>
            <w:vAlign w:val="center"/>
          </w:tcPr>
          <w:p w:rsidR="00F66AE0" w:rsidRPr="00F66AE0" w:rsidRDefault="00F66AE0" w:rsidP="00F66AE0">
            <w:pPr>
              <w:spacing w:line="360" w:lineRule="auto"/>
              <w:jc w:val="center"/>
              <w:rPr>
                <w:rFonts w:ascii="宋体" w:hAnsi="宋体"/>
                <w:sz w:val="24"/>
              </w:rPr>
            </w:pPr>
            <w:r w:rsidRPr="00F66AE0">
              <w:rPr>
                <w:rFonts w:ascii="宋体" w:hAnsi="宋体" w:cs="宋体" w:hint="eastAsia"/>
                <w:color w:val="000000"/>
                <w:kern w:val="0"/>
                <w:sz w:val="24"/>
              </w:rPr>
              <w:t>2018届继续教育学院毕业生专业就业率</w:t>
            </w:r>
          </w:p>
        </w:tc>
      </w:tr>
      <w:tr w:rsidR="00F66AE0" w:rsidTr="00F66AE0">
        <w:trPr>
          <w:trHeight w:val="435"/>
          <w:jc w:val="center"/>
        </w:trPr>
        <w:tc>
          <w:tcPr>
            <w:tcW w:w="1668" w:type="dxa"/>
            <w:vAlign w:val="center"/>
          </w:tcPr>
          <w:p w:rsidR="00F66AE0" w:rsidRPr="00F66AE0" w:rsidRDefault="00F66AE0" w:rsidP="00F66AE0">
            <w:pPr>
              <w:widowControl/>
              <w:jc w:val="center"/>
              <w:rPr>
                <w:rFonts w:ascii="宋体" w:hAnsi="宋体" w:cs="宋体"/>
                <w:color w:val="000000"/>
                <w:kern w:val="0"/>
                <w:sz w:val="24"/>
              </w:rPr>
            </w:pPr>
            <w:r w:rsidRPr="00F66AE0">
              <w:rPr>
                <w:rFonts w:ascii="宋体" w:hAnsi="宋体" w:cs="宋体" w:hint="eastAsia"/>
                <w:color w:val="000000"/>
                <w:kern w:val="0"/>
                <w:sz w:val="24"/>
              </w:rPr>
              <w:t>专业</w:t>
            </w:r>
          </w:p>
        </w:tc>
        <w:tc>
          <w:tcPr>
            <w:tcW w:w="1668" w:type="dxa"/>
            <w:vAlign w:val="center"/>
          </w:tcPr>
          <w:p w:rsidR="00F66AE0" w:rsidRPr="00F66AE0" w:rsidRDefault="00F66AE0" w:rsidP="00F66AE0">
            <w:pPr>
              <w:widowControl/>
              <w:jc w:val="center"/>
              <w:rPr>
                <w:rFonts w:ascii="宋体" w:hAnsi="宋体" w:cs="宋体"/>
                <w:color w:val="000000"/>
                <w:kern w:val="0"/>
                <w:sz w:val="24"/>
              </w:rPr>
            </w:pPr>
            <w:r w:rsidRPr="00F66AE0">
              <w:rPr>
                <w:rFonts w:ascii="宋体" w:hAnsi="宋体" w:cs="宋体" w:hint="eastAsia"/>
                <w:color w:val="000000"/>
                <w:kern w:val="0"/>
                <w:sz w:val="24"/>
              </w:rPr>
              <w:t>毕业生</w:t>
            </w:r>
          </w:p>
        </w:tc>
        <w:tc>
          <w:tcPr>
            <w:tcW w:w="1669" w:type="dxa"/>
            <w:vAlign w:val="center"/>
          </w:tcPr>
          <w:p w:rsidR="00F66AE0" w:rsidRPr="00F66AE0" w:rsidRDefault="00F66AE0" w:rsidP="00F66AE0">
            <w:pPr>
              <w:widowControl/>
              <w:jc w:val="center"/>
              <w:rPr>
                <w:rFonts w:ascii="宋体" w:hAnsi="宋体" w:cs="宋体"/>
                <w:color w:val="000000"/>
                <w:kern w:val="0"/>
                <w:sz w:val="24"/>
              </w:rPr>
            </w:pPr>
            <w:r w:rsidRPr="00F66AE0">
              <w:rPr>
                <w:rFonts w:ascii="宋体" w:hAnsi="宋体" w:cs="宋体" w:hint="eastAsia"/>
                <w:color w:val="000000"/>
                <w:kern w:val="0"/>
                <w:sz w:val="24"/>
              </w:rPr>
              <w:t>就业人数</w:t>
            </w:r>
          </w:p>
        </w:tc>
        <w:tc>
          <w:tcPr>
            <w:tcW w:w="1669" w:type="dxa"/>
            <w:vAlign w:val="center"/>
          </w:tcPr>
          <w:p w:rsidR="00F66AE0" w:rsidRPr="00F66AE0" w:rsidRDefault="00F66AE0" w:rsidP="00F66AE0">
            <w:pPr>
              <w:widowControl/>
              <w:jc w:val="center"/>
              <w:rPr>
                <w:rFonts w:ascii="宋体" w:hAnsi="宋体" w:cs="宋体"/>
                <w:color w:val="000000"/>
                <w:kern w:val="0"/>
                <w:sz w:val="24"/>
              </w:rPr>
            </w:pPr>
            <w:r w:rsidRPr="00F66AE0">
              <w:rPr>
                <w:rFonts w:ascii="宋体" w:hAnsi="宋体" w:cs="宋体" w:hint="eastAsia"/>
                <w:color w:val="000000"/>
                <w:kern w:val="0"/>
                <w:sz w:val="24"/>
              </w:rPr>
              <w:t>专业就业率</w:t>
            </w:r>
          </w:p>
        </w:tc>
        <w:tc>
          <w:tcPr>
            <w:tcW w:w="1671" w:type="dxa"/>
            <w:vAlign w:val="center"/>
          </w:tcPr>
          <w:p w:rsidR="00F66AE0" w:rsidRPr="00F66AE0" w:rsidRDefault="00F66AE0" w:rsidP="00F66AE0">
            <w:pPr>
              <w:widowControl/>
              <w:jc w:val="center"/>
              <w:rPr>
                <w:rFonts w:ascii="宋体" w:hAnsi="宋体" w:cs="宋体"/>
                <w:color w:val="000000"/>
                <w:kern w:val="0"/>
                <w:sz w:val="24"/>
              </w:rPr>
            </w:pPr>
            <w:r w:rsidRPr="00F66AE0">
              <w:rPr>
                <w:rFonts w:ascii="宋体" w:hAnsi="宋体" w:cs="宋体" w:hint="eastAsia"/>
                <w:color w:val="000000"/>
                <w:kern w:val="0"/>
                <w:sz w:val="24"/>
              </w:rPr>
              <w:t>备注</w:t>
            </w:r>
          </w:p>
        </w:tc>
      </w:tr>
      <w:tr w:rsidR="00F66AE0" w:rsidTr="00F66AE0">
        <w:trPr>
          <w:trHeight w:val="453"/>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商务管理</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45</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36</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80.00%</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金融管理</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37</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30</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81.08%</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工商管理</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43</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34</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79.07%</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销售管理</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26</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21</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80.77%</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计算机</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44</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35</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79.55%</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装潢</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53</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43</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81.13%</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会计</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54</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43</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79.63%</w:t>
            </w:r>
          </w:p>
        </w:tc>
        <w:tc>
          <w:tcPr>
            <w:tcW w:w="1671" w:type="dxa"/>
            <w:vAlign w:val="center"/>
          </w:tcPr>
          <w:p w:rsidR="00F66AE0" w:rsidRPr="00F66AE0" w:rsidRDefault="00F66AE0" w:rsidP="00F66AE0">
            <w:pPr>
              <w:spacing w:line="360" w:lineRule="auto"/>
              <w:jc w:val="center"/>
              <w:rPr>
                <w:rFonts w:ascii="宋体" w:hAnsi="宋体"/>
                <w:sz w:val="24"/>
              </w:rPr>
            </w:pPr>
          </w:p>
        </w:tc>
      </w:tr>
      <w:tr w:rsidR="00F66AE0" w:rsidTr="00F66AE0">
        <w:trPr>
          <w:trHeight w:val="468"/>
          <w:jc w:val="center"/>
        </w:trPr>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cs="宋体" w:hint="eastAsia"/>
                <w:color w:val="000000"/>
                <w:sz w:val="24"/>
              </w:rPr>
              <w:t>小计</w:t>
            </w:r>
          </w:p>
        </w:tc>
        <w:tc>
          <w:tcPr>
            <w:tcW w:w="1668"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302</w:t>
            </w:r>
          </w:p>
        </w:tc>
        <w:tc>
          <w:tcPr>
            <w:tcW w:w="1669" w:type="dxa"/>
            <w:vAlign w:val="center"/>
          </w:tcPr>
          <w:p w:rsidR="00F66AE0" w:rsidRPr="00F66AE0" w:rsidRDefault="00F66AE0" w:rsidP="00F66AE0">
            <w:pPr>
              <w:jc w:val="center"/>
              <w:rPr>
                <w:rFonts w:ascii="宋体" w:hAnsi="宋体" w:cs="宋体"/>
                <w:color w:val="000000"/>
                <w:sz w:val="24"/>
              </w:rPr>
            </w:pPr>
            <w:r w:rsidRPr="00F66AE0">
              <w:rPr>
                <w:rFonts w:ascii="宋体" w:hAnsi="宋体" w:hint="eastAsia"/>
                <w:color w:val="000000"/>
                <w:sz w:val="24"/>
              </w:rPr>
              <w:t>242</w:t>
            </w:r>
          </w:p>
        </w:tc>
        <w:tc>
          <w:tcPr>
            <w:tcW w:w="1669" w:type="dxa"/>
            <w:vAlign w:val="center"/>
          </w:tcPr>
          <w:p w:rsidR="00F66AE0" w:rsidRPr="00F66AE0" w:rsidRDefault="00F66AE0" w:rsidP="00F66AE0">
            <w:pPr>
              <w:jc w:val="center"/>
              <w:rPr>
                <w:rFonts w:ascii="宋体" w:hAnsi="宋体" w:cs="宋体"/>
                <w:color w:val="000000"/>
                <w:sz w:val="24"/>
              </w:rPr>
            </w:pPr>
            <w:r>
              <w:rPr>
                <w:rFonts w:ascii="宋体" w:hAnsi="宋体" w:hint="eastAsia"/>
                <w:color w:val="000000"/>
                <w:sz w:val="24"/>
              </w:rPr>
              <w:t>80.13</w:t>
            </w:r>
            <w:r w:rsidRPr="00F66AE0">
              <w:rPr>
                <w:rFonts w:ascii="宋体" w:hAnsi="宋体" w:hint="eastAsia"/>
                <w:color w:val="000000"/>
                <w:sz w:val="24"/>
              </w:rPr>
              <w:t>%</w:t>
            </w:r>
          </w:p>
        </w:tc>
        <w:tc>
          <w:tcPr>
            <w:tcW w:w="1671" w:type="dxa"/>
            <w:vAlign w:val="center"/>
          </w:tcPr>
          <w:p w:rsidR="00F66AE0" w:rsidRPr="00F66AE0" w:rsidRDefault="00F66AE0" w:rsidP="00F66AE0">
            <w:pPr>
              <w:spacing w:line="360" w:lineRule="auto"/>
              <w:jc w:val="center"/>
              <w:rPr>
                <w:rFonts w:ascii="宋体" w:hAnsi="宋体"/>
                <w:sz w:val="24"/>
              </w:rPr>
            </w:pPr>
          </w:p>
        </w:tc>
      </w:tr>
    </w:tbl>
    <w:p w:rsidR="00F66AE0" w:rsidRDefault="00F66AE0" w:rsidP="008B5191">
      <w:pPr>
        <w:spacing w:line="360" w:lineRule="auto"/>
        <w:jc w:val="center"/>
        <w:rPr>
          <w:rFonts w:ascii="宋体" w:hAnsi="宋体"/>
          <w:sz w:val="24"/>
        </w:rPr>
      </w:pPr>
    </w:p>
    <w:p w:rsidR="00F66AE0" w:rsidRDefault="00F66AE0" w:rsidP="008B5191">
      <w:pPr>
        <w:spacing w:line="360" w:lineRule="auto"/>
        <w:jc w:val="center"/>
        <w:rPr>
          <w:rFonts w:ascii="宋体" w:hAnsi="宋体"/>
          <w:sz w:val="24"/>
        </w:rPr>
      </w:pPr>
      <w:r>
        <w:rPr>
          <w:noProof/>
        </w:rPr>
        <w:drawing>
          <wp:inline distT="0" distB="0" distL="0" distR="0" wp14:anchorId="593F61BE" wp14:editId="5C2F2FBE">
            <wp:extent cx="5353050" cy="3476625"/>
            <wp:effectExtent l="0" t="0" r="1905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5191" w:rsidRPr="008B5191" w:rsidRDefault="008B5191" w:rsidP="008B5191">
      <w:pPr>
        <w:spacing w:line="360" w:lineRule="auto"/>
        <w:rPr>
          <w:rFonts w:ascii="宋体" w:hAnsi="宋体"/>
          <w:sz w:val="24"/>
        </w:rPr>
      </w:pPr>
    </w:p>
    <w:sectPr w:rsidR="008B5191" w:rsidRPr="008B5191" w:rsidSect="0099429B">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B1" w:rsidRDefault="003940B1" w:rsidP="000B2622">
      <w:r>
        <w:separator/>
      </w:r>
    </w:p>
  </w:endnote>
  <w:endnote w:type="continuationSeparator" w:id="0">
    <w:p w:rsidR="003940B1" w:rsidRDefault="003940B1" w:rsidP="000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B1" w:rsidRDefault="003940B1" w:rsidP="000B2622">
      <w:r>
        <w:separator/>
      </w:r>
    </w:p>
  </w:footnote>
  <w:footnote w:type="continuationSeparator" w:id="0">
    <w:p w:rsidR="003940B1" w:rsidRDefault="003940B1" w:rsidP="000B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C00"/>
    <w:multiLevelType w:val="hybridMultilevel"/>
    <w:tmpl w:val="05FCF5D2"/>
    <w:lvl w:ilvl="0" w:tplc="ADA067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906E54"/>
    <w:multiLevelType w:val="hybridMultilevel"/>
    <w:tmpl w:val="ADA6659E"/>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350711B3"/>
    <w:multiLevelType w:val="hybridMultilevel"/>
    <w:tmpl w:val="DBC810B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A191915"/>
    <w:multiLevelType w:val="hybridMultilevel"/>
    <w:tmpl w:val="8D3CBFAE"/>
    <w:lvl w:ilvl="0" w:tplc="EA56A8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25A309F"/>
    <w:multiLevelType w:val="hybridMultilevel"/>
    <w:tmpl w:val="4AE2506C"/>
    <w:lvl w:ilvl="0" w:tplc="A644F5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2B"/>
    <w:rsid w:val="000B2622"/>
    <w:rsid w:val="002B6F4D"/>
    <w:rsid w:val="003100A8"/>
    <w:rsid w:val="003940B1"/>
    <w:rsid w:val="003B150A"/>
    <w:rsid w:val="006670B2"/>
    <w:rsid w:val="00695360"/>
    <w:rsid w:val="006B01DB"/>
    <w:rsid w:val="006F1DD2"/>
    <w:rsid w:val="00864609"/>
    <w:rsid w:val="008B5191"/>
    <w:rsid w:val="00975263"/>
    <w:rsid w:val="0099429B"/>
    <w:rsid w:val="00A60075"/>
    <w:rsid w:val="00BA4CA9"/>
    <w:rsid w:val="00C05537"/>
    <w:rsid w:val="00C11120"/>
    <w:rsid w:val="00C24112"/>
    <w:rsid w:val="00D0516E"/>
    <w:rsid w:val="00E25B2D"/>
    <w:rsid w:val="00E5422B"/>
    <w:rsid w:val="00F6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 w:type="paragraph" w:styleId="a8">
    <w:name w:val="Normal (Web)"/>
    <w:basedOn w:val="a"/>
    <w:uiPriority w:val="99"/>
    <w:semiHidden/>
    <w:unhideWhenUsed/>
    <w:rsid w:val="0097526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 w:type="paragraph" w:styleId="a8">
    <w:name w:val="Normal (Web)"/>
    <w:basedOn w:val="a"/>
    <w:uiPriority w:val="99"/>
    <w:semiHidden/>
    <w:unhideWhenUsed/>
    <w:rsid w:val="0097526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高职学院就业率</a:t>
            </a:r>
          </a:p>
        </c:rich>
      </c:tx>
      <c:overlay val="0"/>
    </c:title>
    <c:autoTitleDeleted val="0"/>
    <c:plotArea>
      <c:layout/>
      <c:lineChart>
        <c:grouping val="stacked"/>
        <c:varyColors val="0"/>
        <c:ser>
          <c:idx val="0"/>
          <c:order val="0"/>
          <c:dLbls>
            <c:showLegendKey val="0"/>
            <c:showVal val="1"/>
            <c:showCatName val="0"/>
            <c:showSerName val="0"/>
            <c:showPercent val="0"/>
            <c:showBubbleSize val="0"/>
            <c:showLeaderLines val="0"/>
          </c:dLbls>
          <c:cat>
            <c:strRef>
              <c:f>Sheet1!$A$25:$D$25</c:f>
              <c:strCache>
                <c:ptCount val="4"/>
                <c:pt idx="0">
                  <c:v>2015年</c:v>
                </c:pt>
                <c:pt idx="1">
                  <c:v>2016年</c:v>
                </c:pt>
                <c:pt idx="2">
                  <c:v>2017年</c:v>
                </c:pt>
                <c:pt idx="3">
                  <c:v>2018年</c:v>
                </c:pt>
              </c:strCache>
            </c:strRef>
          </c:cat>
          <c:val>
            <c:numRef>
              <c:f>Sheet1!$A$26:$D$26</c:f>
              <c:numCache>
                <c:formatCode>0.00%</c:formatCode>
                <c:ptCount val="4"/>
                <c:pt idx="0">
                  <c:v>0.81779999999999997</c:v>
                </c:pt>
                <c:pt idx="1">
                  <c:v>0.83909999999999996</c:v>
                </c:pt>
                <c:pt idx="2">
                  <c:v>0.84660000000000002</c:v>
                </c:pt>
                <c:pt idx="3">
                  <c:v>0.85119999999999996</c:v>
                </c:pt>
              </c:numCache>
            </c:numRef>
          </c:val>
          <c:smooth val="0"/>
        </c:ser>
        <c:dLbls>
          <c:showLegendKey val="0"/>
          <c:showVal val="0"/>
          <c:showCatName val="0"/>
          <c:showSerName val="0"/>
          <c:showPercent val="0"/>
          <c:showBubbleSize val="0"/>
        </c:dLbls>
        <c:marker val="1"/>
        <c:smooth val="0"/>
        <c:axId val="36358784"/>
        <c:axId val="199639424"/>
      </c:lineChart>
      <c:catAx>
        <c:axId val="36358784"/>
        <c:scaling>
          <c:orientation val="minMax"/>
        </c:scaling>
        <c:delete val="0"/>
        <c:axPos val="b"/>
        <c:majorTickMark val="out"/>
        <c:minorTickMark val="none"/>
        <c:tickLblPos val="nextTo"/>
        <c:crossAx val="199639424"/>
        <c:crosses val="autoZero"/>
        <c:auto val="1"/>
        <c:lblAlgn val="ctr"/>
        <c:lblOffset val="100"/>
        <c:noMultiLvlLbl val="0"/>
      </c:catAx>
      <c:valAx>
        <c:axId val="199639424"/>
        <c:scaling>
          <c:orientation val="minMax"/>
        </c:scaling>
        <c:delete val="0"/>
        <c:axPos val="l"/>
        <c:majorGridlines/>
        <c:numFmt formatCode="0.00%" sourceLinked="1"/>
        <c:majorTickMark val="out"/>
        <c:minorTickMark val="none"/>
        <c:tickLblPos val="nextTo"/>
        <c:crossAx val="36358784"/>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高职学院毕业生系分布图</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Sheet1!$D$3:$D$5</c:f>
              <c:strCache>
                <c:ptCount val="3"/>
                <c:pt idx="0">
                  <c:v>经管系</c:v>
                </c:pt>
                <c:pt idx="1">
                  <c:v>工程系</c:v>
                </c:pt>
                <c:pt idx="2">
                  <c:v>文法系</c:v>
                </c:pt>
              </c:strCache>
            </c:strRef>
          </c:cat>
          <c:val>
            <c:numRef>
              <c:f>Sheet1!$E$3:$E$5</c:f>
              <c:numCache>
                <c:formatCode>General</c:formatCode>
                <c:ptCount val="3"/>
                <c:pt idx="0">
                  <c:v>287</c:v>
                </c:pt>
                <c:pt idx="1">
                  <c:v>111</c:v>
                </c:pt>
                <c:pt idx="2">
                  <c:v>207</c:v>
                </c:pt>
              </c:numCache>
            </c:numRef>
          </c:val>
        </c:ser>
        <c:dLbls>
          <c:showLegendKey val="0"/>
          <c:showVal val="0"/>
          <c:showCatName val="0"/>
          <c:showSerName val="0"/>
          <c:showPercent val="0"/>
          <c:showBubbleSize val="0"/>
        </c:dLbls>
        <c:gapWidth val="150"/>
        <c:shape val="box"/>
        <c:axId val="199684864"/>
        <c:axId val="199686400"/>
        <c:axId val="0"/>
      </c:bar3DChart>
      <c:catAx>
        <c:axId val="199684864"/>
        <c:scaling>
          <c:orientation val="minMax"/>
        </c:scaling>
        <c:delete val="0"/>
        <c:axPos val="b"/>
        <c:majorTickMark val="out"/>
        <c:minorTickMark val="none"/>
        <c:tickLblPos val="nextTo"/>
        <c:crossAx val="199686400"/>
        <c:crosses val="autoZero"/>
        <c:auto val="1"/>
        <c:lblAlgn val="ctr"/>
        <c:lblOffset val="100"/>
        <c:noMultiLvlLbl val="0"/>
      </c:catAx>
      <c:valAx>
        <c:axId val="199686400"/>
        <c:scaling>
          <c:orientation val="minMax"/>
        </c:scaling>
        <c:delete val="0"/>
        <c:axPos val="l"/>
        <c:majorGridlines/>
        <c:numFmt formatCode="General" sourceLinked="1"/>
        <c:majorTickMark val="out"/>
        <c:minorTickMark val="none"/>
        <c:tickLblPos val="nextTo"/>
        <c:crossAx val="1996848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zh-CN" sz="1800" b="1" i="0" baseline="0">
                <a:effectLst/>
              </a:rPr>
              <a:t>高职学院各系毕业生就业率</a:t>
            </a:r>
            <a:endParaRPr lang="zh-CN" altLang="zh-CN">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Sheet1!$G$6:$G$8</c:f>
              <c:strCache>
                <c:ptCount val="3"/>
                <c:pt idx="0">
                  <c:v>经管系</c:v>
                </c:pt>
                <c:pt idx="1">
                  <c:v>工程系</c:v>
                </c:pt>
                <c:pt idx="2">
                  <c:v>文法系</c:v>
                </c:pt>
              </c:strCache>
            </c:strRef>
          </c:cat>
          <c:val>
            <c:numRef>
              <c:f>Sheet1!$H$6:$H$8</c:f>
              <c:numCache>
                <c:formatCode>0.00%</c:formatCode>
                <c:ptCount val="3"/>
                <c:pt idx="0">
                  <c:v>0.85289999999999999</c:v>
                </c:pt>
                <c:pt idx="1">
                  <c:v>0.88890000000000002</c:v>
                </c:pt>
                <c:pt idx="2">
                  <c:v>0.84619999999999995</c:v>
                </c:pt>
              </c:numCache>
            </c:numRef>
          </c:val>
        </c:ser>
        <c:dLbls>
          <c:showLegendKey val="0"/>
          <c:showVal val="0"/>
          <c:showCatName val="0"/>
          <c:showSerName val="0"/>
          <c:showPercent val="0"/>
          <c:showBubbleSize val="0"/>
        </c:dLbls>
        <c:gapWidth val="150"/>
        <c:shape val="box"/>
        <c:axId val="139290880"/>
        <c:axId val="139292672"/>
        <c:axId val="0"/>
      </c:bar3DChart>
      <c:catAx>
        <c:axId val="139290880"/>
        <c:scaling>
          <c:orientation val="minMax"/>
        </c:scaling>
        <c:delete val="0"/>
        <c:axPos val="b"/>
        <c:majorTickMark val="out"/>
        <c:minorTickMark val="none"/>
        <c:tickLblPos val="nextTo"/>
        <c:crossAx val="139292672"/>
        <c:crosses val="autoZero"/>
        <c:auto val="1"/>
        <c:lblAlgn val="ctr"/>
        <c:lblOffset val="100"/>
        <c:noMultiLvlLbl val="0"/>
      </c:catAx>
      <c:valAx>
        <c:axId val="139292672"/>
        <c:scaling>
          <c:orientation val="minMax"/>
        </c:scaling>
        <c:delete val="0"/>
        <c:axPos val="l"/>
        <c:majorGridlines/>
        <c:numFmt formatCode="0.00%" sourceLinked="1"/>
        <c:majorTickMark val="out"/>
        <c:minorTickMark val="none"/>
        <c:tickLblPos val="nextTo"/>
        <c:crossAx val="1392908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tLang="zh-CN" sz="1800" b="1" i="0" baseline="0">
                <a:effectLst/>
              </a:rPr>
              <a:t>2018</a:t>
            </a:r>
            <a:r>
              <a:rPr lang="zh-CN" altLang="zh-CN" sz="1800" b="1" i="0" baseline="0">
                <a:effectLst/>
              </a:rPr>
              <a:t>届高职学院毕业生专业就业率</a:t>
            </a:r>
            <a:endParaRPr lang="zh-CN" altLang="zh-CN">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Sheet1!$A$2:$A$12</c:f>
              <c:strCache>
                <c:ptCount val="11"/>
                <c:pt idx="0">
                  <c:v>会计</c:v>
                </c:pt>
                <c:pt idx="1">
                  <c:v>电子商务</c:v>
                </c:pt>
                <c:pt idx="2">
                  <c:v>工商管理</c:v>
                </c:pt>
                <c:pt idx="3">
                  <c:v>营销与策划</c:v>
                </c:pt>
                <c:pt idx="4">
                  <c:v>金融</c:v>
                </c:pt>
                <c:pt idx="5">
                  <c:v>机电一体化</c:v>
                </c:pt>
                <c:pt idx="6">
                  <c:v>建筑</c:v>
                </c:pt>
                <c:pt idx="7">
                  <c:v>计算机</c:v>
                </c:pt>
                <c:pt idx="8">
                  <c:v>学前教育</c:v>
                </c:pt>
                <c:pt idx="9">
                  <c:v>广告设计</c:v>
                </c:pt>
                <c:pt idx="10">
                  <c:v>装潢设计</c:v>
                </c:pt>
              </c:strCache>
            </c:strRef>
          </c:cat>
          <c:val>
            <c:numRef>
              <c:f>Sheet1!$D$2:$D$12</c:f>
              <c:numCache>
                <c:formatCode>0.00%</c:formatCode>
                <c:ptCount val="11"/>
                <c:pt idx="0">
                  <c:v>0.84931506849315064</c:v>
                </c:pt>
                <c:pt idx="1">
                  <c:v>0.8529411764705882</c:v>
                </c:pt>
                <c:pt idx="2">
                  <c:v>0.88888888888888884</c:v>
                </c:pt>
                <c:pt idx="3">
                  <c:v>0.84615384615384615</c:v>
                </c:pt>
                <c:pt idx="4">
                  <c:v>0.82352941176470584</c:v>
                </c:pt>
                <c:pt idx="5">
                  <c:v>0.84745762711864403</c:v>
                </c:pt>
                <c:pt idx="6">
                  <c:v>0.8571428571428571</c:v>
                </c:pt>
                <c:pt idx="7">
                  <c:v>0.83333333333333337</c:v>
                </c:pt>
                <c:pt idx="8">
                  <c:v>0.85470085470085466</c:v>
                </c:pt>
                <c:pt idx="9">
                  <c:v>0.85365853658536583</c:v>
                </c:pt>
                <c:pt idx="10">
                  <c:v>0.8571428571428571</c:v>
                </c:pt>
              </c:numCache>
            </c:numRef>
          </c:val>
        </c:ser>
        <c:dLbls>
          <c:showLegendKey val="0"/>
          <c:showVal val="0"/>
          <c:showCatName val="0"/>
          <c:showSerName val="0"/>
          <c:showPercent val="0"/>
          <c:showBubbleSize val="0"/>
        </c:dLbls>
        <c:gapWidth val="150"/>
        <c:shape val="box"/>
        <c:axId val="139309440"/>
        <c:axId val="139310976"/>
        <c:axId val="0"/>
      </c:bar3DChart>
      <c:catAx>
        <c:axId val="139309440"/>
        <c:scaling>
          <c:orientation val="minMax"/>
        </c:scaling>
        <c:delete val="0"/>
        <c:axPos val="b"/>
        <c:majorTickMark val="out"/>
        <c:minorTickMark val="none"/>
        <c:tickLblPos val="nextTo"/>
        <c:crossAx val="139310976"/>
        <c:crosses val="autoZero"/>
        <c:auto val="1"/>
        <c:lblAlgn val="ctr"/>
        <c:lblOffset val="100"/>
        <c:noMultiLvlLbl val="0"/>
      </c:catAx>
      <c:valAx>
        <c:axId val="139310976"/>
        <c:scaling>
          <c:orientation val="minMax"/>
        </c:scaling>
        <c:delete val="0"/>
        <c:axPos val="l"/>
        <c:majorGridlines/>
        <c:numFmt formatCode="0.00%" sourceLinked="1"/>
        <c:majorTickMark val="out"/>
        <c:minorTickMark val="none"/>
        <c:tickLblPos val="nextTo"/>
        <c:crossAx val="1393094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tLang="zh-CN" sz="1600" b="1" i="0" u="none" strike="noStrike" baseline="0">
                <a:effectLst/>
              </a:rPr>
              <a:t>2018</a:t>
            </a:r>
            <a:r>
              <a:rPr lang="zh-CN" altLang="zh-CN" sz="1600" b="1" i="0" u="none" strike="noStrike" baseline="0">
                <a:effectLst/>
              </a:rPr>
              <a:t>届继续教育学院毕业生专业就业率</a:t>
            </a:r>
            <a:endParaRPr lang="zh-CN" altLang="en-US" sz="16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Sheet1!$A$15:$A$21</c:f>
              <c:strCache>
                <c:ptCount val="7"/>
                <c:pt idx="0">
                  <c:v>商务管理</c:v>
                </c:pt>
                <c:pt idx="1">
                  <c:v>金融管理</c:v>
                </c:pt>
                <c:pt idx="2">
                  <c:v>工商管理</c:v>
                </c:pt>
                <c:pt idx="3">
                  <c:v>销售管理</c:v>
                </c:pt>
                <c:pt idx="4">
                  <c:v>计算机</c:v>
                </c:pt>
                <c:pt idx="5">
                  <c:v>装潢</c:v>
                </c:pt>
                <c:pt idx="6">
                  <c:v>会计</c:v>
                </c:pt>
              </c:strCache>
            </c:strRef>
          </c:cat>
          <c:val>
            <c:numRef>
              <c:f>Sheet1!$D$15:$D$21</c:f>
              <c:numCache>
                <c:formatCode>0.00%</c:formatCode>
                <c:ptCount val="7"/>
                <c:pt idx="0">
                  <c:v>0.8</c:v>
                </c:pt>
                <c:pt idx="1">
                  <c:v>0.81081081081081086</c:v>
                </c:pt>
                <c:pt idx="2">
                  <c:v>0.79069767441860461</c:v>
                </c:pt>
                <c:pt idx="3">
                  <c:v>0.80769230769230771</c:v>
                </c:pt>
                <c:pt idx="4">
                  <c:v>0.79545454545454541</c:v>
                </c:pt>
                <c:pt idx="5">
                  <c:v>0.81132075471698117</c:v>
                </c:pt>
                <c:pt idx="6">
                  <c:v>0.79629629629629628</c:v>
                </c:pt>
              </c:numCache>
            </c:numRef>
          </c:val>
        </c:ser>
        <c:dLbls>
          <c:showLegendKey val="0"/>
          <c:showVal val="0"/>
          <c:showCatName val="0"/>
          <c:showSerName val="0"/>
          <c:showPercent val="0"/>
          <c:showBubbleSize val="0"/>
        </c:dLbls>
        <c:gapWidth val="150"/>
        <c:shape val="box"/>
        <c:axId val="199674112"/>
        <c:axId val="199819264"/>
        <c:axId val="0"/>
      </c:bar3DChart>
      <c:catAx>
        <c:axId val="199674112"/>
        <c:scaling>
          <c:orientation val="minMax"/>
        </c:scaling>
        <c:delete val="0"/>
        <c:axPos val="b"/>
        <c:majorTickMark val="out"/>
        <c:minorTickMark val="none"/>
        <c:tickLblPos val="nextTo"/>
        <c:crossAx val="199819264"/>
        <c:crosses val="autoZero"/>
        <c:auto val="1"/>
        <c:lblAlgn val="ctr"/>
        <c:lblOffset val="100"/>
        <c:noMultiLvlLbl val="0"/>
      </c:catAx>
      <c:valAx>
        <c:axId val="199819264"/>
        <c:scaling>
          <c:orientation val="minMax"/>
        </c:scaling>
        <c:delete val="0"/>
        <c:axPos val="l"/>
        <c:majorGridlines/>
        <c:numFmt formatCode="0.00%" sourceLinked="1"/>
        <c:majorTickMark val="out"/>
        <c:minorTickMark val="none"/>
        <c:tickLblPos val="nextTo"/>
        <c:crossAx val="199674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1165</TotalTime>
  <Pages>5</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tzdd</dc:creator>
  <cp:lastModifiedBy>tzdd</cp:lastModifiedBy>
  <cp:revision>5</cp:revision>
  <dcterms:created xsi:type="dcterms:W3CDTF">2018-10-09T05:29:00Z</dcterms:created>
  <dcterms:modified xsi:type="dcterms:W3CDTF">2018-10-10T01:01:00Z</dcterms:modified>
</cp:coreProperties>
</file>