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9" w:rsidRPr="00E20F18" w:rsidRDefault="005C2249" w:rsidP="005C2249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20F18">
        <w:rPr>
          <w:rFonts w:ascii="方正小标宋简体" w:eastAsia="方正小标宋简体" w:hAnsi="宋体" w:hint="eastAsia"/>
          <w:sz w:val="36"/>
          <w:szCs w:val="36"/>
        </w:rPr>
        <w:t>台州电大脱产毕业生满意度</w:t>
      </w:r>
      <w:r w:rsidRPr="00E20F18">
        <w:rPr>
          <w:rFonts w:ascii="方正小标宋简体" w:eastAsia="方正小标宋简体" w:hAnsi="宋体"/>
          <w:sz w:val="36"/>
          <w:szCs w:val="36"/>
        </w:rPr>
        <w:t>调查</w:t>
      </w:r>
      <w:r w:rsidR="00641558">
        <w:rPr>
          <w:rFonts w:ascii="方正小标宋简体" w:eastAsia="方正小标宋简体" w:hAnsi="宋体" w:hint="eastAsia"/>
          <w:sz w:val="36"/>
          <w:szCs w:val="36"/>
        </w:rPr>
        <w:t>分析报告</w:t>
      </w:r>
    </w:p>
    <w:p w:rsidR="001F5A30" w:rsidRPr="008F4D7E" w:rsidRDefault="001F5A30" w:rsidP="008F4D7E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8F4D7E">
        <w:rPr>
          <w:rFonts w:asciiTheme="minorEastAsia" w:eastAsiaTheme="minorEastAsia" w:hAnsiTheme="minorEastAsia" w:hint="eastAsia"/>
          <w:sz w:val="24"/>
        </w:rPr>
        <w:t>为了解脱产毕业学生（包括大专和中专）对我校教学、管理和服务工作的评价，以进一步提高学校服务质量，改进教学和管理水平，根据ISO9001质量管理体系的要求，学校于201</w:t>
      </w:r>
      <w:r w:rsidR="00540114">
        <w:rPr>
          <w:rFonts w:asciiTheme="minorEastAsia" w:eastAsiaTheme="minorEastAsia" w:hAnsiTheme="minorEastAsia" w:hint="eastAsia"/>
          <w:sz w:val="24"/>
        </w:rPr>
        <w:t>7</w:t>
      </w:r>
      <w:r w:rsidRPr="008F4D7E">
        <w:rPr>
          <w:rFonts w:asciiTheme="minorEastAsia" w:eastAsiaTheme="minorEastAsia" w:hAnsiTheme="minorEastAsia" w:hint="eastAsia"/>
          <w:sz w:val="24"/>
        </w:rPr>
        <w:t>年3月，在全校各个脱产毕业班级随机抽取200人（其中高职学院100人，继续教育学院50人，中职学院50人）进行问卷调查。现将统计分析情况报告如下：</w:t>
      </w:r>
    </w:p>
    <w:p w:rsidR="001F5A30" w:rsidRPr="0037622B" w:rsidRDefault="001F5A30" w:rsidP="0037622B">
      <w:pPr>
        <w:spacing w:line="400" w:lineRule="exact"/>
        <w:ind w:firstLineChars="150" w:firstLine="361"/>
        <w:rPr>
          <w:rFonts w:asciiTheme="minorEastAsia" w:eastAsiaTheme="minorEastAsia" w:hAnsiTheme="minorEastAsia"/>
          <w:b/>
          <w:sz w:val="24"/>
        </w:rPr>
      </w:pPr>
      <w:r w:rsidRPr="0037622B">
        <w:rPr>
          <w:rFonts w:asciiTheme="minorEastAsia" w:eastAsiaTheme="minorEastAsia" w:hAnsiTheme="minorEastAsia" w:hint="eastAsia"/>
          <w:b/>
          <w:sz w:val="24"/>
        </w:rPr>
        <w:t>一、满意度情况统计</w:t>
      </w:r>
    </w:p>
    <w:p w:rsidR="005C2249" w:rsidRPr="002F5D4D" w:rsidRDefault="001F5A30" w:rsidP="008F4D7E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2F5D4D">
        <w:rPr>
          <w:rFonts w:asciiTheme="minorEastAsia" w:eastAsiaTheme="minorEastAsia" w:hAnsiTheme="minorEastAsia" w:hint="eastAsia"/>
          <w:sz w:val="24"/>
        </w:rPr>
        <w:t>本次满意度调查共发出问卷200份，回收有效问卷200份，回收率100%。根据统计台州电大脱产毕业学生满意度为</w:t>
      </w:r>
      <w:r w:rsidR="002F5D4D" w:rsidRPr="002F5D4D">
        <w:rPr>
          <w:rFonts w:asciiTheme="minorEastAsia" w:eastAsiaTheme="minorEastAsia" w:hAnsiTheme="minorEastAsia" w:hint="eastAsia"/>
          <w:sz w:val="24"/>
        </w:rPr>
        <w:t>7</w:t>
      </w:r>
      <w:r w:rsidR="006523E7">
        <w:rPr>
          <w:rFonts w:asciiTheme="minorEastAsia" w:eastAsiaTheme="minorEastAsia" w:hAnsiTheme="minorEastAsia" w:hint="eastAsia"/>
          <w:sz w:val="24"/>
        </w:rPr>
        <w:t>8.6</w:t>
      </w:r>
      <w:r w:rsidR="00A77284" w:rsidRPr="002F5D4D">
        <w:rPr>
          <w:rFonts w:asciiTheme="minorEastAsia" w:eastAsiaTheme="minorEastAsia" w:hAnsiTheme="minorEastAsia"/>
          <w:sz w:val="24"/>
        </w:rPr>
        <w:t>%</w:t>
      </w:r>
      <w:r w:rsidRPr="002F5D4D">
        <w:rPr>
          <w:rFonts w:asciiTheme="minorEastAsia" w:eastAsiaTheme="minorEastAsia" w:hAnsiTheme="minorEastAsia" w:hint="eastAsia"/>
          <w:sz w:val="24"/>
        </w:rPr>
        <w:t>，具体情况如下表：</w:t>
      </w:r>
    </w:p>
    <w:tbl>
      <w:tblPr>
        <w:tblW w:w="8393" w:type="dxa"/>
        <w:tblLook w:val="0000"/>
      </w:tblPr>
      <w:tblGrid>
        <w:gridCol w:w="3691"/>
        <w:gridCol w:w="1120"/>
        <w:gridCol w:w="1349"/>
        <w:gridCol w:w="1178"/>
        <w:gridCol w:w="1055"/>
      </w:tblGrid>
      <w:tr w:rsidR="006E7195" w:rsidRPr="00C21527" w:rsidTr="006E7195">
        <w:trPr>
          <w:trHeight w:val="402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C21527" w:rsidRDefault="006E7195" w:rsidP="00B40329">
            <w:pPr>
              <w:spacing w:line="440" w:lineRule="exact"/>
              <w:jc w:val="center"/>
              <w:rPr>
                <w:rFonts w:ascii="仿宋_GB2312" w:eastAsia="仿宋_GB2312"/>
                <w:b/>
              </w:rPr>
            </w:pPr>
            <w:r w:rsidRPr="00C21527">
              <w:rPr>
                <w:rFonts w:ascii="仿宋_GB2312" w:eastAsia="仿宋_GB2312" w:hint="eastAsia"/>
                <w:b/>
              </w:rPr>
              <w:t>调 查 项 目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19761A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9761A">
              <w:rPr>
                <w:rFonts w:ascii="宋体" w:hAnsi="宋体" w:cs="宋体" w:hint="eastAsia"/>
                <w:b/>
                <w:kern w:val="0"/>
                <w:sz w:val="24"/>
              </w:rPr>
              <w:t>评价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（大专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-高职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（大专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-继教院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6E7195" w:rsidRPr="00A51AA4" w:rsidRDefault="006E7195" w:rsidP="00B705E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专）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C21527" w:rsidRDefault="006E7195" w:rsidP="007279CC">
            <w:pPr>
              <w:widowControl/>
              <w:spacing w:line="380" w:lineRule="exact"/>
              <w:jc w:val="center"/>
              <w:rPr>
                <w:rFonts w:ascii="仿宋_GB2312" w:eastAsia="仿宋_GB2312"/>
              </w:rPr>
            </w:pPr>
            <w:r w:rsidRPr="005532C4">
              <w:rPr>
                <w:rFonts w:ascii="宋体" w:hAnsi="宋体" w:cs="宋体" w:hint="eastAsia"/>
                <w:b/>
                <w:kern w:val="0"/>
                <w:sz w:val="24"/>
              </w:rPr>
              <w:t>加权平均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值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1、课程</w:t>
            </w:r>
            <w:r>
              <w:rPr>
                <w:rFonts w:ascii="仿宋_GB2312" w:eastAsia="仿宋_GB2312" w:hint="eastAsia"/>
              </w:rPr>
              <w:t>安排</w:t>
            </w:r>
            <w:r w:rsidRPr="00C21527">
              <w:rPr>
                <w:rFonts w:ascii="仿宋_GB2312" w:eastAsia="仿宋_GB2312" w:hint="eastAsia"/>
              </w:rPr>
              <w:t>合理性满意度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68%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96%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79.4%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2、教师教学水平满意度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99%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88%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86.4%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3、教师责任感满意度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82%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100%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90%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88.4%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4、班主任、辅导员工作满意度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86%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100%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92%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90.5%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5、课程实验、实训</w:t>
            </w:r>
            <w:r>
              <w:rPr>
                <w:rFonts w:ascii="仿宋_GB2312" w:eastAsia="仿宋_GB2312" w:hint="eastAsia"/>
              </w:rPr>
              <w:t>教学效果</w:t>
            </w:r>
            <w:r w:rsidRPr="00C21527">
              <w:rPr>
                <w:rFonts w:ascii="仿宋_GB2312" w:eastAsia="仿宋_GB2312" w:hint="eastAsia"/>
              </w:rPr>
              <w:t>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72%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81%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82%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76.6%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6、学习氛围满意度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69%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97%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84%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79.9%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7、学校就业指导满意度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66%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99%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82%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78.2%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8、对学校提供的就业信息满意度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66%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96%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76.8%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9、对自己的职业发展满意度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70%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76%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81%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74.0%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10、教学设备</w:t>
            </w:r>
            <w:r>
              <w:rPr>
                <w:rFonts w:ascii="仿宋_GB2312" w:eastAsia="仿宋_GB2312" w:hint="eastAsia"/>
              </w:rPr>
              <w:t>、实训设施</w:t>
            </w:r>
            <w:r w:rsidRPr="00C21527">
              <w:rPr>
                <w:rFonts w:ascii="仿宋_GB2312" w:eastAsia="仿宋_GB2312" w:hint="eastAsia"/>
              </w:rPr>
              <w:t>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75%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74%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83%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76.7%</w:t>
            </w:r>
          </w:p>
        </w:tc>
      </w:tr>
      <w:tr w:rsidR="000D10B0" w:rsidRPr="00C21527" w:rsidTr="005C3692">
        <w:trPr>
          <w:trHeight w:val="671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11、住宿条件</w:t>
            </w:r>
            <w:r>
              <w:rPr>
                <w:rFonts w:ascii="仿宋_GB2312" w:eastAsia="仿宋_GB2312" w:hint="eastAsia"/>
              </w:rPr>
              <w:t>和宿管人员的</w:t>
            </w:r>
            <w:r w:rsidRPr="00C21527">
              <w:rPr>
                <w:rFonts w:ascii="仿宋_GB2312" w:eastAsia="仿宋_GB2312" w:hint="eastAsia"/>
              </w:rPr>
              <w:t>满意度（住校生填写）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65%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83%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84%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74.2%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12、饮食条件满意度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52%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63%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79%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61.4%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13、校园环境满意度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75%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81%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87%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79.3%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14、社团活动满意度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67%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93%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78.0%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15、各项评优政策满意度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67%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87%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85%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76.3%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16、投诉路径及反馈情况满意度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65%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95%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89%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78.3%</w:t>
            </w:r>
          </w:p>
        </w:tc>
      </w:tr>
      <w:tr w:rsidR="000D10B0" w:rsidRPr="00C21527" w:rsidTr="005C3692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C21527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17、治安满意度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FA761D" w:rsidRDefault="000D10B0" w:rsidP="002F5D4D">
            <w:r w:rsidRPr="00FA761D"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146055" w:rsidRDefault="000D10B0" w:rsidP="002F5D4D">
            <w:r w:rsidRPr="00146055">
              <w:t>80%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06F45" w:rsidRDefault="000D10B0" w:rsidP="002F5D4D">
            <w:r w:rsidRPr="00206F45">
              <w:t>88%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82.0%</w:t>
            </w:r>
          </w:p>
        </w:tc>
      </w:tr>
      <w:tr w:rsidR="000D10B0" w:rsidRPr="00C21527" w:rsidTr="000236EF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F5D4D" w:rsidRDefault="000D10B0" w:rsidP="002F5D4D">
            <w:pPr>
              <w:spacing w:line="440" w:lineRule="exact"/>
              <w:rPr>
                <w:rFonts w:ascii="仿宋_GB2312" w:eastAsia="仿宋_GB2312"/>
              </w:rPr>
            </w:pPr>
            <w:r w:rsidRPr="002F5D4D">
              <w:rPr>
                <w:rFonts w:ascii="仿宋_GB2312" w:eastAsia="仿宋_GB2312" w:hint="eastAsia"/>
              </w:rPr>
              <w:t>平均满意度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Pr="002F5D4D" w:rsidRDefault="000D10B0" w:rsidP="002F5D4D">
            <w:r w:rsidRPr="002F5D4D">
              <w:t>71%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Default="000D10B0" w:rsidP="002F5D4D">
            <w:r w:rsidRPr="00146055">
              <w:t>88%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0" w:rsidRDefault="000D10B0" w:rsidP="002F5D4D">
            <w:r w:rsidRPr="00206F45">
              <w:t>85%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B0" w:rsidRPr="000D10B0" w:rsidRDefault="000D10B0" w:rsidP="000D10B0">
            <w:r w:rsidRPr="000D10B0">
              <w:rPr>
                <w:rFonts w:hint="eastAsia"/>
              </w:rPr>
              <w:t>78.6%</w:t>
            </w:r>
          </w:p>
        </w:tc>
      </w:tr>
    </w:tbl>
    <w:p w:rsidR="00AC3789" w:rsidRDefault="00AC3789" w:rsidP="006128DF">
      <w:pPr>
        <w:widowControl/>
        <w:spacing w:afterLines="5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</w:p>
    <w:p w:rsidR="003D61D0" w:rsidRDefault="00760560" w:rsidP="006128DF">
      <w:pPr>
        <w:widowControl/>
        <w:spacing w:afterLines="50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AA2B7D">
        <w:rPr>
          <w:rFonts w:asciiTheme="minorEastAsia" w:eastAsiaTheme="minorEastAsia" w:hAnsiTheme="minorEastAsia" w:cs="宋体" w:hint="eastAsia"/>
          <w:b/>
          <w:kern w:val="0"/>
          <w:sz w:val="24"/>
        </w:rPr>
        <w:t>二、有待改进原因分析及改进措施</w:t>
      </w:r>
    </w:p>
    <w:p w:rsidR="00573713" w:rsidRPr="00573713" w:rsidRDefault="00573713" w:rsidP="00573713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2B35BC">
        <w:rPr>
          <w:rFonts w:asciiTheme="minorEastAsia" w:eastAsiaTheme="minorEastAsia" w:hAnsiTheme="minorEastAsia" w:hint="eastAsia"/>
          <w:sz w:val="24"/>
        </w:rPr>
        <w:t>今年脱产毕业生满意度调查结果，比2016年的满意度调查结果降低了7个百分点（2016年的毕业生的平均满意度为85.7%），其中高职学院的满意度特别低只有71%，低于目标值7</w:t>
      </w:r>
      <w:r w:rsidRPr="00573713">
        <w:rPr>
          <w:rFonts w:asciiTheme="minorEastAsia" w:eastAsiaTheme="minorEastAsia" w:hAnsiTheme="minorEastAsia" w:hint="eastAsia"/>
          <w:sz w:val="24"/>
        </w:rPr>
        <w:t>5%，需要引起学院和学校的高度重视。</w:t>
      </w:r>
    </w:p>
    <w:p w:rsidR="00573713" w:rsidRPr="00573713" w:rsidRDefault="006128DF" w:rsidP="00573713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本次满意度调查中发现脱产学生对</w:t>
      </w:r>
      <w:r w:rsidR="00573713" w:rsidRPr="00573713">
        <w:rPr>
          <w:rFonts w:asciiTheme="minorEastAsia" w:eastAsiaTheme="minorEastAsia" w:hAnsiTheme="minorEastAsia" w:hint="eastAsia"/>
          <w:sz w:val="24"/>
        </w:rPr>
        <w:t>教师责任感满意度（86.4 %）、教师教学水平满意度（88.4%）、班主任、辅导员工作满意度（90.5%），和往年一样是脱产学生最满意的三项。</w:t>
      </w:r>
      <w:r>
        <w:rPr>
          <w:rFonts w:asciiTheme="minorEastAsia" w:eastAsiaTheme="minorEastAsia" w:hAnsiTheme="minorEastAsia" w:hint="eastAsia"/>
          <w:sz w:val="24"/>
        </w:rPr>
        <w:t>但是对</w:t>
      </w:r>
      <w:r w:rsidR="00573713" w:rsidRPr="00573713">
        <w:rPr>
          <w:rFonts w:asciiTheme="minorEastAsia" w:eastAsiaTheme="minorEastAsia" w:hAnsiTheme="minorEastAsia" w:hint="eastAsia"/>
          <w:sz w:val="24"/>
        </w:rPr>
        <w:t>饮食条件满意度（61.4%）、住宿条件和宿管人员的满意度（74.2%）、教学设备、实训设施满意度（76.6%）、学校就业指导满意度（74.0%）和对学校提供的就业信息满意度（76.8%）相对较低，均在</w:t>
      </w:r>
      <w:r w:rsidR="00573713">
        <w:rPr>
          <w:rFonts w:asciiTheme="minorEastAsia" w:eastAsiaTheme="minorEastAsia" w:hAnsiTheme="minorEastAsia" w:hint="eastAsia"/>
          <w:sz w:val="24"/>
        </w:rPr>
        <w:t>77</w:t>
      </w:r>
      <w:r w:rsidR="00573713" w:rsidRPr="00573713">
        <w:rPr>
          <w:rFonts w:asciiTheme="minorEastAsia" w:eastAsiaTheme="minorEastAsia" w:hAnsiTheme="minorEastAsia" w:hint="eastAsia"/>
          <w:sz w:val="24"/>
        </w:rPr>
        <w:t>%以下。各职能部门对有待改进的原因进行了分析，并提出了相应的改进措施，汇总如下：</w:t>
      </w:r>
    </w:p>
    <w:p w:rsidR="00CA4100" w:rsidRPr="00573713" w:rsidRDefault="00573713" w:rsidP="003E6ABE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73713">
        <w:rPr>
          <w:rFonts w:asciiTheme="minorEastAsia" w:eastAsiaTheme="minorEastAsia" w:hAnsiTheme="minorEastAsia" w:hint="eastAsia"/>
          <w:sz w:val="24"/>
        </w:rPr>
        <w:t>1、班主任、辅导员工作满意度（90.5%）高。说明各学院班主任工作落实到位，学工人员深入学生中开展活动有效果。</w:t>
      </w:r>
    </w:p>
    <w:p w:rsidR="003E6ABE" w:rsidRPr="0082596C" w:rsidRDefault="00573713" w:rsidP="003E6ABE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2E6527">
        <w:rPr>
          <w:rFonts w:asciiTheme="minorEastAsia" w:eastAsiaTheme="minorEastAsia" w:hAnsiTheme="minorEastAsia" w:hint="eastAsia"/>
          <w:sz w:val="24"/>
        </w:rPr>
        <w:t>2、</w:t>
      </w:r>
      <w:r w:rsidR="003E6ABE">
        <w:rPr>
          <w:rFonts w:asciiTheme="minorEastAsia" w:eastAsiaTheme="minorEastAsia" w:hAnsiTheme="minorEastAsia" w:hint="eastAsia"/>
          <w:sz w:val="24"/>
        </w:rPr>
        <w:t>本次对脱产毕业生的满意度调查，满意度最低的项目的是饮食条件的满意度，</w:t>
      </w:r>
      <w:r w:rsidR="006128DF">
        <w:rPr>
          <w:rFonts w:asciiTheme="minorEastAsia" w:eastAsiaTheme="minorEastAsia" w:hAnsiTheme="minorEastAsia" w:hint="eastAsia"/>
          <w:sz w:val="24"/>
        </w:rPr>
        <w:t>平均满意度</w:t>
      </w:r>
      <w:r w:rsidR="003E6ABE">
        <w:rPr>
          <w:rFonts w:asciiTheme="minorEastAsia" w:eastAsiaTheme="minorEastAsia" w:hAnsiTheme="minorEastAsia" w:hint="eastAsia"/>
          <w:sz w:val="24"/>
        </w:rPr>
        <w:t>仅</w:t>
      </w:r>
      <w:r w:rsidR="006128DF">
        <w:rPr>
          <w:rFonts w:asciiTheme="minorEastAsia" w:eastAsiaTheme="minorEastAsia" w:hAnsiTheme="minorEastAsia" w:hint="eastAsia"/>
          <w:sz w:val="24"/>
        </w:rPr>
        <w:t>为</w:t>
      </w:r>
      <w:r w:rsidR="003E6ABE">
        <w:rPr>
          <w:rFonts w:asciiTheme="minorEastAsia" w:eastAsiaTheme="minorEastAsia" w:hAnsiTheme="minorEastAsia" w:hint="eastAsia"/>
          <w:sz w:val="24"/>
        </w:rPr>
        <w:t>61.4%。说明</w:t>
      </w:r>
      <w:r w:rsidR="003E6ABE" w:rsidRPr="0082596C">
        <w:rPr>
          <w:rFonts w:asciiTheme="minorEastAsia" w:eastAsiaTheme="minorEastAsia" w:hAnsiTheme="minorEastAsia" w:hint="eastAsia"/>
          <w:sz w:val="24"/>
        </w:rPr>
        <w:t>虽然搬入新校园，学校硬件设施有一定改善，但现在的学生生活条件相对较好，对生活质量有更高要求，再加上网络团购外卖的便利冲击，三个学院学生对饮食条件</w:t>
      </w:r>
      <w:r w:rsidR="003E6ABE">
        <w:rPr>
          <w:rFonts w:asciiTheme="minorEastAsia" w:eastAsiaTheme="minorEastAsia" w:hAnsiTheme="minorEastAsia" w:hint="eastAsia"/>
          <w:sz w:val="24"/>
        </w:rPr>
        <w:t>非常</w:t>
      </w:r>
      <w:r w:rsidR="003E6ABE" w:rsidRPr="0082596C">
        <w:rPr>
          <w:rFonts w:asciiTheme="minorEastAsia" w:eastAsiaTheme="minorEastAsia" w:hAnsiTheme="minorEastAsia" w:hint="eastAsia"/>
          <w:sz w:val="24"/>
        </w:rPr>
        <w:t>不满意</w:t>
      </w:r>
      <w:r w:rsidR="003E6ABE">
        <w:rPr>
          <w:rFonts w:asciiTheme="minorEastAsia" w:eastAsiaTheme="minorEastAsia" w:hAnsiTheme="minorEastAsia" w:hint="eastAsia"/>
          <w:sz w:val="24"/>
        </w:rPr>
        <w:t>，进过分析原因如下：</w:t>
      </w:r>
      <w:r w:rsidR="003E6ABE" w:rsidRPr="00C117A6">
        <w:rPr>
          <w:rFonts w:asciiTheme="minorEastAsia" w:eastAsiaTheme="minorEastAsia" w:hAnsiTheme="minorEastAsia" w:hint="eastAsia"/>
          <w:sz w:val="24"/>
        </w:rPr>
        <w:t>(1)</w:t>
      </w:r>
      <w:r w:rsidR="003E6ABE">
        <w:rPr>
          <w:rFonts w:asciiTheme="minorEastAsia" w:eastAsiaTheme="minorEastAsia" w:hAnsiTheme="minorEastAsia" w:hint="eastAsia"/>
          <w:sz w:val="24"/>
        </w:rPr>
        <w:t>新校园就餐范围缩小，局限于两个食堂，在老校园时学生选择范围相对较大；（2）食堂地理位置的缩小带来了就餐的紧迫，新食堂刚开业与学生就餐期望值有一定的差距，让满意度直线下降；（3</w:t>
      </w:r>
      <w:r w:rsidR="003E6ABE">
        <w:rPr>
          <w:rFonts w:asciiTheme="minorEastAsia" w:eastAsiaTheme="minorEastAsia" w:hAnsiTheme="minorEastAsia"/>
          <w:sz w:val="24"/>
        </w:rPr>
        <w:t>）</w:t>
      </w:r>
      <w:r w:rsidR="003E6ABE" w:rsidRPr="0082596C">
        <w:rPr>
          <w:rFonts w:asciiTheme="minorEastAsia" w:eastAsiaTheme="minorEastAsia" w:hAnsiTheme="minorEastAsia" w:hint="eastAsia"/>
          <w:sz w:val="24"/>
        </w:rPr>
        <w:t>超市、水果店等生活配套没有跟上，致使学生对新校园较高的期望值产生了落差，导致满意度偏低。</w:t>
      </w:r>
    </w:p>
    <w:p w:rsidR="00262D7E" w:rsidRDefault="003E6ABE" w:rsidP="003E6ABE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82596C">
        <w:rPr>
          <w:rFonts w:asciiTheme="minorEastAsia" w:eastAsiaTheme="minorEastAsia" w:hAnsiTheme="minorEastAsia" w:hint="eastAsia"/>
          <w:sz w:val="24"/>
        </w:rPr>
        <w:t>改进措施：（1）</w:t>
      </w:r>
      <w:r w:rsidRPr="00C117A6">
        <w:rPr>
          <w:rFonts w:asciiTheme="minorEastAsia" w:eastAsiaTheme="minorEastAsia" w:hAnsiTheme="minorEastAsia" w:hint="eastAsia"/>
          <w:sz w:val="24"/>
        </w:rPr>
        <w:t>后勤</w:t>
      </w:r>
      <w:r>
        <w:rPr>
          <w:rFonts w:asciiTheme="minorEastAsia" w:eastAsiaTheme="minorEastAsia" w:hAnsiTheme="minorEastAsia" w:hint="eastAsia"/>
          <w:sz w:val="24"/>
        </w:rPr>
        <w:t>处</w:t>
      </w:r>
      <w:r w:rsidRPr="00C117A6">
        <w:rPr>
          <w:rFonts w:asciiTheme="minorEastAsia" w:eastAsiaTheme="minorEastAsia" w:hAnsiTheme="minorEastAsia" w:hint="eastAsia"/>
          <w:sz w:val="24"/>
        </w:rPr>
        <w:t>将</w:t>
      </w:r>
      <w:r w:rsidRPr="00C117A6">
        <w:rPr>
          <w:rFonts w:asciiTheme="minorEastAsia" w:eastAsiaTheme="minorEastAsia" w:hAnsiTheme="minorEastAsia"/>
          <w:sz w:val="24"/>
        </w:rPr>
        <w:t>会同校办、工会、团委、学生会成立膳管会，专门对食堂管理进行监测，比如食堂成本、食品质量、卫生死角等，以防出现因菜价问题而导致菜的质量下降。</w:t>
      </w:r>
      <w:r>
        <w:rPr>
          <w:rFonts w:asciiTheme="minorEastAsia" w:eastAsiaTheme="minorEastAsia" w:hAnsiTheme="minorEastAsia" w:hint="eastAsia"/>
          <w:sz w:val="24"/>
        </w:rPr>
        <w:t>（2）生活方面，学校将加快相应的配套设施的跟进速度，目前ATM取款、超市、快递、水果店等已通过公开招投标。</w:t>
      </w:r>
    </w:p>
    <w:p w:rsidR="003E6ABE" w:rsidRPr="003E6ABE" w:rsidRDefault="003E6ABE" w:rsidP="003E6ABE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3E6ABE">
        <w:rPr>
          <w:rFonts w:asciiTheme="minorEastAsia" w:eastAsiaTheme="minorEastAsia" w:hAnsiTheme="minorEastAsia" w:hint="eastAsia"/>
          <w:sz w:val="24"/>
        </w:rPr>
        <w:t>3、对宿舍条件和宿管人员的满意度也只有74.2%，和2016年（75.0</w:t>
      </w:r>
      <w:r>
        <w:rPr>
          <w:rFonts w:asciiTheme="minorEastAsia" w:eastAsiaTheme="minorEastAsia" w:hAnsiTheme="minorEastAsia" w:hint="eastAsia"/>
          <w:sz w:val="24"/>
        </w:rPr>
        <w:t>%</w:t>
      </w:r>
      <w:r w:rsidRPr="003E6ABE">
        <w:rPr>
          <w:rFonts w:asciiTheme="minorEastAsia" w:eastAsiaTheme="minorEastAsia" w:hAnsiTheme="minorEastAsia" w:hint="eastAsia"/>
          <w:sz w:val="24"/>
        </w:rPr>
        <w:t>）一样，低于目标值。经分析存在以下原因：（1）由于管理人员年龄偏大，受教育年限较低，文化水平不高导致管理方式方法简单；（2）宿管员工资较低没有竞争力，很难招到素质相对较高的宿舍管理人员；（3）部分住宿同学不愿意打扫卫生而多次受到宿管人员的提醒和指责；（4）本学期学校对宿舍卫生抓的较紧学生有抵触情绪；</w:t>
      </w:r>
      <w:r>
        <w:rPr>
          <w:rFonts w:asciiTheme="minorEastAsia" w:eastAsiaTheme="minorEastAsia" w:hAnsiTheme="minorEastAsia" w:hint="eastAsia"/>
          <w:sz w:val="24"/>
        </w:rPr>
        <w:t>（5）</w:t>
      </w:r>
      <w:r w:rsidRPr="003E6ABE">
        <w:rPr>
          <w:rFonts w:asciiTheme="minorEastAsia" w:eastAsiaTheme="minorEastAsia" w:hAnsiTheme="minorEastAsia" w:hint="eastAsia"/>
          <w:sz w:val="24"/>
        </w:rPr>
        <w:t>班主任、辅导员对贯彻学校规章制度力度不够和对学生的思想引领程</w:t>
      </w:r>
      <w:r w:rsidRPr="003E6ABE">
        <w:rPr>
          <w:rFonts w:asciiTheme="minorEastAsia" w:eastAsiaTheme="minorEastAsia" w:hAnsiTheme="minorEastAsia" w:hint="eastAsia"/>
          <w:sz w:val="24"/>
        </w:rPr>
        <w:lastRenderedPageBreak/>
        <w:t>度不同导致各学院学生情绪有较大差别。</w:t>
      </w:r>
    </w:p>
    <w:p w:rsidR="003E6ABE" w:rsidRDefault="003E6ABE" w:rsidP="003E6ABE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3E6ABE">
        <w:rPr>
          <w:rFonts w:asciiTheme="minorEastAsia" w:eastAsiaTheme="minorEastAsia" w:hAnsiTheme="minorEastAsia" w:hint="eastAsia"/>
          <w:sz w:val="24"/>
        </w:rPr>
        <w:t>改进措施：（1）对宿舍管理人员进行谈话交流查找问题；（2）加强宿管员交流学习提升宿管员的管理水平；（3）加大和强化学生宿舍卫生文明的管理工作；（4）督促各学院加强班主任、辅导员对学校规章制度的学习；（5）统一思想，强化大局意识做好学生思想引领作用。</w:t>
      </w:r>
    </w:p>
    <w:p w:rsidR="003E6ABE" w:rsidRPr="003E6ABE" w:rsidRDefault="003E6ABE" w:rsidP="006128DF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3E6ABE">
        <w:rPr>
          <w:rFonts w:asciiTheme="minorEastAsia" w:eastAsiaTheme="minorEastAsia" w:hAnsiTheme="minorEastAsia" w:hint="eastAsia"/>
          <w:sz w:val="24"/>
        </w:rPr>
        <w:t>4、本次调查教学设备、实训设施满意度（76.6%）与2016年的教学设备、实训设施满意度（87.0%）相比有一定程度的下降，其原因有：（1）</w:t>
      </w:r>
      <w:r w:rsidR="006128DF" w:rsidRPr="003E6ABE">
        <w:rPr>
          <w:rFonts w:asciiTheme="minorEastAsia" w:eastAsiaTheme="minorEastAsia" w:hAnsiTheme="minorEastAsia" w:hint="eastAsia"/>
          <w:sz w:val="24"/>
        </w:rPr>
        <w:t>新校园办学条件较老校园已有较大改进，大部分实训场所已安排妥当。但</w:t>
      </w:r>
      <w:r w:rsidR="006128DF">
        <w:rPr>
          <w:rFonts w:asciiTheme="minorEastAsia" w:eastAsiaTheme="minorEastAsia" w:hAnsiTheme="minorEastAsia" w:hint="eastAsia"/>
          <w:sz w:val="24"/>
        </w:rPr>
        <w:t>总体来说，我校教学设备、实训设施建设整体投入不足，历史欠账较多</w:t>
      </w:r>
      <w:r w:rsidRPr="003E6ABE">
        <w:rPr>
          <w:rFonts w:asciiTheme="minorEastAsia" w:eastAsiaTheme="minorEastAsia" w:hAnsiTheme="minorEastAsia" w:hint="eastAsia"/>
          <w:sz w:val="24"/>
        </w:rPr>
        <w:t>。（2）部分专业如装潢专业、学前教育专业招生人数较往年有较大幅度提升，实训设备的添置因预算时间差的问题没有及时跟上。（3）部分专业如建筑专业尚没有相应的实验实训场所。下一步学校将根据学校实际情况，逐年加大实训室建设资金投入，改善教学实训条件。</w:t>
      </w:r>
    </w:p>
    <w:p w:rsidR="00CA4100" w:rsidRPr="002E6527" w:rsidRDefault="003E6ABE" w:rsidP="003E6ABE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262D7E" w:rsidRPr="002E6527">
        <w:rPr>
          <w:rFonts w:asciiTheme="minorEastAsia" w:eastAsiaTheme="minorEastAsia" w:hAnsiTheme="minorEastAsia" w:hint="eastAsia"/>
          <w:sz w:val="24"/>
        </w:rPr>
        <w:t>、</w:t>
      </w:r>
      <w:r w:rsidR="006128DF">
        <w:rPr>
          <w:rFonts w:asciiTheme="minorEastAsia" w:eastAsiaTheme="minorEastAsia" w:hAnsiTheme="minorEastAsia" w:hint="eastAsia"/>
          <w:sz w:val="24"/>
        </w:rPr>
        <w:t>脱产毕业生</w:t>
      </w:r>
      <w:r w:rsidR="002E6527" w:rsidRPr="002E6527">
        <w:rPr>
          <w:rFonts w:asciiTheme="minorEastAsia" w:eastAsiaTheme="minorEastAsia" w:hAnsiTheme="minorEastAsia" w:hint="eastAsia"/>
          <w:sz w:val="24"/>
        </w:rPr>
        <w:t>对自己</w:t>
      </w:r>
      <w:r w:rsidR="00262D7E" w:rsidRPr="002E6527">
        <w:rPr>
          <w:rFonts w:asciiTheme="minorEastAsia" w:eastAsiaTheme="minorEastAsia" w:hAnsiTheme="minorEastAsia" w:hint="eastAsia"/>
          <w:sz w:val="24"/>
        </w:rPr>
        <w:t>职业发展</w:t>
      </w:r>
      <w:r w:rsidR="002E6527" w:rsidRPr="002E6527">
        <w:rPr>
          <w:rFonts w:asciiTheme="minorEastAsia" w:eastAsiaTheme="minorEastAsia" w:hAnsiTheme="minorEastAsia" w:hint="eastAsia"/>
          <w:sz w:val="24"/>
        </w:rPr>
        <w:t>和学校提供的就业信息满意度偏低的情况</w:t>
      </w:r>
      <w:r w:rsidR="006128DF">
        <w:rPr>
          <w:rFonts w:asciiTheme="minorEastAsia" w:eastAsiaTheme="minorEastAsia" w:hAnsiTheme="minorEastAsia" w:hint="eastAsia"/>
          <w:sz w:val="24"/>
        </w:rPr>
        <w:t>。</w:t>
      </w:r>
      <w:r w:rsidR="002E6527" w:rsidRPr="002E6527">
        <w:rPr>
          <w:rFonts w:asciiTheme="minorEastAsia" w:eastAsiaTheme="minorEastAsia" w:hAnsiTheme="minorEastAsia" w:hint="eastAsia"/>
          <w:sz w:val="24"/>
        </w:rPr>
        <w:t>学校应从以下几点进行改进</w:t>
      </w:r>
      <w:r w:rsidR="006128DF">
        <w:rPr>
          <w:rFonts w:asciiTheme="minorEastAsia" w:eastAsiaTheme="minorEastAsia" w:hAnsiTheme="minorEastAsia" w:hint="eastAsia"/>
          <w:sz w:val="24"/>
        </w:rPr>
        <w:t>:</w:t>
      </w:r>
      <w:r w:rsidR="00262D7E" w:rsidRPr="002E6527">
        <w:rPr>
          <w:rFonts w:asciiTheme="minorEastAsia" w:eastAsiaTheme="minorEastAsia" w:hAnsiTheme="minorEastAsia" w:hint="eastAsia"/>
          <w:sz w:val="24"/>
        </w:rPr>
        <w:t>（1）</w:t>
      </w:r>
      <w:r w:rsidR="002E6527" w:rsidRPr="002E6527">
        <w:rPr>
          <w:rFonts w:asciiTheme="minorEastAsia" w:eastAsiaTheme="minorEastAsia" w:hAnsiTheme="minorEastAsia" w:hint="eastAsia"/>
          <w:sz w:val="24"/>
        </w:rPr>
        <w:t>各</w:t>
      </w:r>
      <w:r w:rsidR="00262D7E" w:rsidRPr="002E6527">
        <w:rPr>
          <w:rFonts w:asciiTheme="minorEastAsia" w:eastAsiaTheme="minorEastAsia" w:hAnsiTheme="minorEastAsia" w:hint="eastAsia"/>
          <w:sz w:val="24"/>
        </w:rPr>
        <w:t>学院应该加强毕业生就业指导工作，密切关注就业形势，全面了解就业政策，为广大毕业生提供可靠的就业信息。在教学与管理中，做好学生择业心理指导工作，引导学生树立正确的就业观。从低年级开始抓就业指导工作，注重培养学生综合能力素质，在学生中开展丰富多彩的社会实践活动。（2）多方面调动专业教师的专业技能教学积极性和探索的主动性，给教师更多的教学自主性，注意专业教改活动的实效性，促进教师专业技能教学水平的提高</w:t>
      </w:r>
      <w:r w:rsidR="002B35BC" w:rsidRPr="002E6527">
        <w:rPr>
          <w:rFonts w:asciiTheme="minorEastAsia" w:eastAsiaTheme="minorEastAsia" w:hAnsiTheme="minorEastAsia" w:hint="eastAsia"/>
          <w:sz w:val="24"/>
        </w:rPr>
        <w:t>，满足学生自身发展和职业发展的需求。</w:t>
      </w:r>
    </w:p>
    <w:p w:rsidR="000C597E" w:rsidRPr="003107E2" w:rsidRDefault="000C597E" w:rsidP="000C597E">
      <w:pPr>
        <w:spacing w:line="400" w:lineRule="exact"/>
        <w:ind w:firstLineChars="150" w:firstLine="360"/>
        <w:rPr>
          <w:rFonts w:asciiTheme="minorEastAsia" w:eastAsiaTheme="minorEastAsia" w:hAnsiTheme="minorEastAsia"/>
          <w:color w:val="FF0000"/>
          <w:sz w:val="24"/>
        </w:rPr>
      </w:pPr>
    </w:p>
    <w:p w:rsidR="000C597E" w:rsidRPr="003E6ABE" w:rsidRDefault="000C597E" w:rsidP="003E6ABE">
      <w:pPr>
        <w:spacing w:line="440" w:lineRule="exact"/>
        <w:ind w:firstLine="480"/>
        <w:jc w:val="right"/>
        <w:rPr>
          <w:rFonts w:asciiTheme="minorEastAsia" w:eastAsiaTheme="minorEastAsia" w:hAnsiTheme="minorEastAsia"/>
          <w:sz w:val="24"/>
        </w:rPr>
      </w:pPr>
      <w:r w:rsidRPr="003E6ABE">
        <w:rPr>
          <w:rFonts w:asciiTheme="minorEastAsia" w:eastAsiaTheme="minorEastAsia" w:hAnsiTheme="minorEastAsia" w:hint="eastAsia"/>
          <w:sz w:val="24"/>
        </w:rPr>
        <w:t>台州广播电视大学办公室</w:t>
      </w:r>
    </w:p>
    <w:p w:rsidR="000C597E" w:rsidRPr="003E6ABE" w:rsidRDefault="000C597E" w:rsidP="003E6ABE">
      <w:pPr>
        <w:spacing w:line="440" w:lineRule="exact"/>
        <w:ind w:firstLine="480"/>
        <w:jc w:val="right"/>
        <w:rPr>
          <w:rFonts w:asciiTheme="minorEastAsia" w:eastAsiaTheme="minorEastAsia" w:hAnsiTheme="minorEastAsia"/>
          <w:sz w:val="24"/>
        </w:rPr>
      </w:pPr>
      <w:r w:rsidRPr="003E6ABE">
        <w:rPr>
          <w:rFonts w:asciiTheme="minorEastAsia" w:eastAsiaTheme="minorEastAsia" w:hAnsiTheme="minorEastAsia" w:hint="eastAsia"/>
          <w:sz w:val="24"/>
        </w:rPr>
        <w:t>二〇一</w:t>
      </w:r>
      <w:r w:rsidR="003E6ABE" w:rsidRPr="003E6ABE">
        <w:rPr>
          <w:rFonts w:asciiTheme="minorEastAsia" w:eastAsiaTheme="minorEastAsia" w:hAnsiTheme="minorEastAsia" w:hint="eastAsia"/>
          <w:sz w:val="24"/>
        </w:rPr>
        <w:t>七</w:t>
      </w:r>
      <w:r w:rsidRPr="003E6ABE">
        <w:rPr>
          <w:rFonts w:asciiTheme="minorEastAsia" w:eastAsiaTheme="minorEastAsia" w:hAnsiTheme="minorEastAsia" w:hint="eastAsia"/>
          <w:sz w:val="24"/>
        </w:rPr>
        <w:t>年五月三</w:t>
      </w:r>
      <w:r w:rsidR="003E6ABE" w:rsidRPr="003E6ABE">
        <w:rPr>
          <w:rFonts w:asciiTheme="minorEastAsia" w:eastAsiaTheme="minorEastAsia" w:hAnsiTheme="minorEastAsia" w:hint="eastAsia"/>
          <w:sz w:val="24"/>
        </w:rPr>
        <w:t>十</w:t>
      </w:r>
      <w:r w:rsidRPr="003E6ABE">
        <w:rPr>
          <w:rFonts w:asciiTheme="minorEastAsia" w:eastAsiaTheme="minorEastAsia" w:hAnsiTheme="minorEastAsia" w:hint="eastAsia"/>
          <w:sz w:val="24"/>
        </w:rPr>
        <w:t>日</w:t>
      </w:r>
    </w:p>
    <w:p w:rsidR="000C597E" w:rsidRPr="003E6ABE" w:rsidRDefault="000C597E" w:rsidP="003E6ABE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</w:p>
    <w:p w:rsidR="00102E43" w:rsidRPr="003107E2" w:rsidRDefault="00102E43" w:rsidP="006150AC">
      <w:pPr>
        <w:spacing w:line="400" w:lineRule="exact"/>
        <w:ind w:firstLineChars="150" w:firstLine="420"/>
        <w:rPr>
          <w:rFonts w:ascii="华文仿宋" w:eastAsia="华文仿宋" w:hAnsi="华文仿宋"/>
          <w:color w:val="FF0000"/>
          <w:sz w:val="28"/>
          <w:szCs w:val="28"/>
        </w:rPr>
      </w:pPr>
    </w:p>
    <w:sectPr w:rsidR="00102E43" w:rsidRPr="003107E2" w:rsidSect="00BF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D8" w:rsidRDefault="00140FD8" w:rsidP="00F356F8">
      <w:r>
        <w:separator/>
      </w:r>
    </w:p>
  </w:endnote>
  <w:endnote w:type="continuationSeparator" w:id="1">
    <w:p w:rsidR="00140FD8" w:rsidRDefault="00140FD8" w:rsidP="00F3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D8" w:rsidRDefault="00140FD8" w:rsidP="00F356F8">
      <w:r>
        <w:separator/>
      </w:r>
    </w:p>
  </w:footnote>
  <w:footnote w:type="continuationSeparator" w:id="1">
    <w:p w:rsidR="00140FD8" w:rsidRDefault="00140FD8" w:rsidP="00F35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9"/>
    <w:rsid w:val="00015E17"/>
    <w:rsid w:val="00024896"/>
    <w:rsid w:val="00064FB6"/>
    <w:rsid w:val="000C597E"/>
    <w:rsid w:val="000D10B0"/>
    <w:rsid w:val="000E4E98"/>
    <w:rsid w:val="00102E43"/>
    <w:rsid w:val="0012506F"/>
    <w:rsid w:val="00140FD8"/>
    <w:rsid w:val="0015138E"/>
    <w:rsid w:val="001F3002"/>
    <w:rsid w:val="001F5A30"/>
    <w:rsid w:val="00212D42"/>
    <w:rsid w:val="00232DD3"/>
    <w:rsid w:val="002334CD"/>
    <w:rsid w:val="0023672E"/>
    <w:rsid w:val="00255941"/>
    <w:rsid w:val="00262D7E"/>
    <w:rsid w:val="00275063"/>
    <w:rsid w:val="002B35BC"/>
    <w:rsid w:val="002D7E74"/>
    <w:rsid w:val="002E6527"/>
    <w:rsid w:val="002F5D4D"/>
    <w:rsid w:val="003107E2"/>
    <w:rsid w:val="00334BE2"/>
    <w:rsid w:val="0037622B"/>
    <w:rsid w:val="003B0FE2"/>
    <w:rsid w:val="003D61D0"/>
    <w:rsid w:val="003E6ABE"/>
    <w:rsid w:val="00422058"/>
    <w:rsid w:val="00540114"/>
    <w:rsid w:val="005532C4"/>
    <w:rsid w:val="00555013"/>
    <w:rsid w:val="00560475"/>
    <w:rsid w:val="00573713"/>
    <w:rsid w:val="00597C8E"/>
    <w:rsid w:val="005B40C0"/>
    <w:rsid w:val="005C2249"/>
    <w:rsid w:val="005E73E7"/>
    <w:rsid w:val="006128DF"/>
    <w:rsid w:val="006150AC"/>
    <w:rsid w:val="00625CC5"/>
    <w:rsid w:val="00641558"/>
    <w:rsid w:val="006523E7"/>
    <w:rsid w:val="006770C8"/>
    <w:rsid w:val="00693882"/>
    <w:rsid w:val="006B378C"/>
    <w:rsid w:val="006E7195"/>
    <w:rsid w:val="007201A9"/>
    <w:rsid w:val="007279CC"/>
    <w:rsid w:val="00743C6E"/>
    <w:rsid w:val="00760560"/>
    <w:rsid w:val="00786A47"/>
    <w:rsid w:val="007C05F0"/>
    <w:rsid w:val="007F5BB6"/>
    <w:rsid w:val="00822AEC"/>
    <w:rsid w:val="008626DA"/>
    <w:rsid w:val="008F4D7E"/>
    <w:rsid w:val="00965B3A"/>
    <w:rsid w:val="00A63E93"/>
    <w:rsid w:val="00A77284"/>
    <w:rsid w:val="00A93578"/>
    <w:rsid w:val="00AA2B7D"/>
    <w:rsid w:val="00AC3789"/>
    <w:rsid w:val="00AE0E61"/>
    <w:rsid w:val="00AF5FEE"/>
    <w:rsid w:val="00B705EC"/>
    <w:rsid w:val="00B75FF5"/>
    <w:rsid w:val="00BD7FF6"/>
    <w:rsid w:val="00BF2B3C"/>
    <w:rsid w:val="00BF38E6"/>
    <w:rsid w:val="00BF67F9"/>
    <w:rsid w:val="00C203A4"/>
    <w:rsid w:val="00C340FE"/>
    <w:rsid w:val="00C46086"/>
    <w:rsid w:val="00C549D5"/>
    <w:rsid w:val="00CA4100"/>
    <w:rsid w:val="00CB40E3"/>
    <w:rsid w:val="00DA355F"/>
    <w:rsid w:val="00DD2DCD"/>
    <w:rsid w:val="00EB47AE"/>
    <w:rsid w:val="00F059E5"/>
    <w:rsid w:val="00F0707F"/>
    <w:rsid w:val="00F356F8"/>
    <w:rsid w:val="00F93E94"/>
    <w:rsid w:val="00FA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6F8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532C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5532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32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7AA8-1E26-4C12-86FA-5E4D05CE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>微软中国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2017-04-19T00:28:00Z</cp:lastPrinted>
  <dcterms:created xsi:type="dcterms:W3CDTF">2017-06-06T07:42:00Z</dcterms:created>
  <dcterms:modified xsi:type="dcterms:W3CDTF">2017-06-06T07:42:00Z</dcterms:modified>
</cp:coreProperties>
</file>